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Autospacing="1" w:afterAutospacing="1"/>
        <w:jc w:val="center"/>
        <w:rPr>
          <w:rFonts w:hint="default" w:cs="宋体"/>
          <w:sz w:val="84"/>
          <w:szCs w:val="84"/>
        </w:rPr>
      </w:pPr>
    </w:p>
    <w:p>
      <w:pPr>
        <w:spacing w:beforeAutospacing="1" w:afterAutospacing="1"/>
        <w:jc w:val="center"/>
        <w:rPr>
          <w:rFonts w:hint="default" w:cs="宋体"/>
          <w:sz w:val="84"/>
          <w:szCs w:val="84"/>
        </w:rPr>
      </w:pPr>
    </w:p>
    <w:p>
      <w:pPr>
        <w:spacing w:beforeAutospacing="1" w:afterAutospacing="1"/>
        <w:jc w:val="center"/>
        <w:rPr>
          <w:rFonts w:hint="default" w:cs="宋体"/>
          <w:sz w:val="84"/>
          <w:szCs w:val="84"/>
        </w:rPr>
      </w:pPr>
      <w:r>
        <w:rPr>
          <w:rFonts w:cs="宋体"/>
          <w:sz w:val="84"/>
          <w:szCs w:val="84"/>
        </w:rPr>
        <w:t xml:space="preserve"> 202</w:t>
      </w:r>
      <w:r>
        <w:rPr>
          <w:rFonts w:hint="default" w:cs="宋体"/>
          <w:sz w:val="84"/>
          <w:szCs w:val="84"/>
        </w:rPr>
        <w:t>1</w:t>
      </w:r>
      <w:r>
        <w:rPr>
          <w:rFonts w:cs="宋体"/>
          <w:sz w:val="84"/>
          <w:szCs w:val="84"/>
        </w:rPr>
        <w:t>年度</w:t>
      </w:r>
    </w:p>
    <w:p>
      <w:pPr>
        <w:spacing w:beforeAutospacing="1" w:afterAutospacing="1"/>
        <w:jc w:val="center"/>
        <w:rPr>
          <w:rFonts w:hint="default" w:cs="宋体"/>
          <w:sz w:val="84"/>
          <w:szCs w:val="84"/>
        </w:rPr>
      </w:pPr>
      <w:r>
        <w:rPr>
          <w:rFonts w:cs="宋体"/>
          <w:sz w:val="84"/>
          <w:szCs w:val="84"/>
        </w:rPr>
        <w:t>福州市建筑垃圾工程渣土处置中心决算</w:t>
      </w:r>
    </w:p>
    <w:p>
      <w:pPr>
        <w:spacing w:beforeAutospacing="1" w:afterAutospacing="1"/>
        <w:jc w:val="center"/>
        <w:rPr>
          <w:rFonts w:hint="default" w:cs="宋体"/>
          <w:sz w:val="44"/>
          <w:szCs w:val="44"/>
        </w:rPr>
      </w:pPr>
    </w:p>
    <w:p>
      <w:pPr>
        <w:rPr>
          <w:rFonts w:hint="default" w:cs="宋体"/>
        </w:rPr>
      </w:pPr>
      <w:r>
        <w:rPr>
          <w:rFonts w:cs="宋体"/>
        </w:rPr>
        <w:t xml:space="preserve">  </w:t>
      </w:r>
    </w:p>
    <w:p>
      <w:pPr>
        <w:spacing w:beforeAutospacing="1" w:afterAutospacing="1"/>
        <w:jc w:val="center"/>
        <w:rPr>
          <w:rFonts w:hint="default" w:cs="宋体"/>
          <w:b/>
          <w:sz w:val="32"/>
          <w:szCs w:val="32"/>
        </w:rPr>
      </w:pPr>
    </w:p>
    <w:p>
      <w:pPr>
        <w:spacing w:beforeAutospacing="1" w:afterAutospacing="1"/>
        <w:jc w:val="center"/>
        <w:rPr>
          <w:rFonts w:hint="default" w:cs="宋体"/>
          <w:b/>
          <w:sz w:val="32"/>
          <w:szCs w:val="32"/>
        </w:rPr>
      </w:pPr>
    </w:p>
    <w:p>
      <w:pPr>
        <w:spacing w:beforeAutospacing="1" w:afterAutospacing="1"/>
        <w:jc w:val="center"/>
        <w:rPr>
          <w:rFonts w:hint="default" w:cs="宋体"/>
          <w:b/>
          <w:sz w:val="32"/>
          <w:szCs w:val="32"/>
        </w:rPr>
      </w:pPr>
    </w:p>
    <w:p>
      <w:pPr>
        <w:spacing w:beforeAutospacing="1" w:afterAutospacing="1"/>
        <w:jc w:val="center"/>
        <w:rPr>
          <w:rFonts w:hint="default" w:cs="宋体"/>
          <w:b/>
          <w:sz w:val="32"/>
          <w:szCs w:val="32"/>
        </w:rPr>
      </w:pPr>
    </w:p>
    <w:p>
      <w:pPr>
        <w:spacing w:beforeAutospacing="1" w:afterAutospacing="1"/>
        <w:jc w:val="center"/>
        <w:rPr>
          <w:rFonts w:hint="default" w:cs="宋体"/>
          <w:b/>
          <w:sz w:val="32"/>
          <w:szCs w:val="32"/>
        </w:rPr>
      </w:pPr>
    </w:p>
    <w:p>
      <w:pPr>
        <w:spacing w:beforeAutospacing="1" w:afterAutospacing="1"/>
        <w:rPr>
          <w:rFonts w:hint="default" w:cs="宋体"/>
          <w:b/>
          <w:sz w:val="32"/>
          <w:szCs w:val="32"/>
        </w:rPr>
      </w:pPr>
    </w:p>
    <w:sdt>
      <w:sdtPr>
        <w:rPr>
          <w:szCs w:val="32"/>
        </w:rPr>
        <w:id w:val="147453051"/>
        <w15:color w:val="DBDBDB"/>
        <w:docPartObj>
          <w:docPartGallery w:val="Table of Contents"/>
          <w:docPartUnique/>
        </w:docPartObj>
      </w:sdtPr>
      <w:sdtEndPr>
        <w:rPr>
          <w:b/>
          <w:szCs w:val="32"/>
        </w:rPr>
      </w:sdtEndPr>
      <w:sdtContent>
        <w:p>
          <w:pPr>
            <w:jc w:val="center"/>
            <w:rPr>
              <w:rFonts w:hint="default"/>
              <w:sz w:val="44"/>
              <w:szCs w:val="44"/>
            </w:rPr>
          </w:pPr>
          <w:r>
            <w:rPr>
              <w:sz w:val="36"/>
              <w:szCs w:val="44"/>
            </w:rPr>
            <w:t>目录</w:t>
          </w:r>
        </w:p>
        <w:p>
          <w:pPr>
            <w:pStyle w:val="26"/>
            <w:tabs>
              <w:tab w:val="right" w:leader="dot" w:pos="8315"/>
            </w:tabs>
            <w:spacing w:line="500" w:lineRule="exact"/>
            <w:rPr>
              <w:b/>
              <w:sz w:val="28"/>
              <w:szCs w:val="28"/>
            </w:rPr>
          </w:pPr>
          <w:r>
            <w:rPr>
              <w:rFonts w:hint="eastAsia"/>
              <w:sz w:val="28"/>
              <w:szCs w:val="28"/>
            </w:rPr>
            <w:fldChar w:fldCharType="begin"/>
          </w:r>
          <w:r>
            <w:rPr>
              <w:sz w:val="28"/>
              <w:szCs w:val="28"/>
            </w:rPr>
            <w:instrText xml:space="preserve">TOC \o "1-2" \h \u </w:instrText>
          </w:r>
          <w:r>
            <w:rPr>
              <w:rFonts w:hint="eastAsia"/>
              <w:sz w:val="28"/>
              <w:szCs w:val="28"/>
            </w:rPr>
            <w:fldChar w:fldCharType="separate"/>
          </w:r>
          <w:r>
            <w:fldChar w:fldCharType="begin"/>
          </w:r>
          <w:r>
            <w:instrText xml:space="preserve"> HYPERLINK \l "_Toc2801" </w:instrText>
          </w:r>
          <w:r>
            <w:fldChar w:fldCharType="separate"/>
          </w:r>
          <w:r>
            <w:rPr>
              <w:rFonts w:cs="宋体"/>
              <w:b/>
              <w:sz w:val="28"/>
              <w:szCs w:val="28"/>
            </w:rPr>
            <w:t>第一部分 部门概况</w:t>
          </w:r>
          <w:r>
            <w:rPr>
              <w:b/>
              <w:sz w:val="28"/>
              <w:szCs w:val="28"/>
            </w:rPr>
            <w:tab/>
          </w:r>
          <w:r>
            <w:rPr>
              <w:b/>
              <w:sz w:val="28"/>
              <w:szCs w:val="28"/>
            </w:rPr>
            <w:fldChar w:fldCharType="begin"/>
          </w:r>
          <w:r>
            <w:rPr>
              <w:b/>
              <w:sz w:val="28"/>
              <w:szCs w:val="28"/>
            </w:rPr>
            <w:instrText xml:space="preserve"> PAGEREF _Toc2801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"_Toc4503" </w:instrText>
          </w:r>
          <w:r>
            <w:fldChar w:fldCharType="separate"/>
          </w:r>
          <w:r>
            <w:rPr>
              <w:rFonts w:cs="宋体"/>
              <w:sz w:val="28"/>
              <w:szCs w:val="28"/>
            </w:rPr>
            <w:t>一、</w:t>
          </w:r>
          <w:r>
            <w:rPr>
              <w:rFonts w:hint="eastAsia" w:cs="宋体"/>
              <w:sz w:val="28"/>
              <w:szCs w:val="28"/>
            </w:rPr>
            <w:t>单位</w:t>
          </w:r>
          <w:r>
            <w:rPr>
              <w:rFonts w:cs="宋体"/>
              <w:sz w:val="28"/>
              <w:szCs w:val="28"/>
            </w:rPr>
            <w:t>主要职责</w:t>
          </w:r>
          <w:r>
            <w:rPr>
              <w:sz w:val="28"/>
              <w:szCs w:val="28"/>
            </w:rPr>
            <w:tab/>
          </w:r>
          <w:r>
            <w:rPr>
              <w:sz w:val="28"/>
              <w:szCs w:val="28"/>
            </w:rPr>
            <w:fldChar w:fldCharType="begin"/>
          </w:r>
          <w:r>
            <w:rPr>
              <w:sz w:val="28"/>
              <w:szCs w:val="28"/>
            </w:rPr>
            <w:instrText xml:space="preserve"> PAGEREF _Toc4503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"_Toc657" </w:instrText>
          </w:r>
          <w:r>
            <w:fldChar w:fldCharType="separate"/>
          </w:r>
          <w:r>
            <w:rPr>
              <w:rFonts w:cs="宋体"/>
              <w:sz w:val="28"/>
              <w:szCs w:val="28"/>
            </w:rPr>
            <w:t>二、决算单位基本情况</w:t>
          </w:r>
          <w:r>
            <w:rPr>
              <w:sz w:val="28"/>
              <w:szCs w:val="28"/>
            </w:rPr>
            <w:tab/>
          </w:r>
          <w:r>
            <w:rPr>
              <w:sz w:val="28"/>
              <w:szCs w:val="28"/>
            </w:rPr>
            <w:fldChar w:fldCharType="begin"/>
          </w:r>
          <w:r>
            <w:rPr>
              <w:sz w:val="28"/>
              <w:szCs w:val="28"/>
            </w:rPr>
            <w:instrText xml:space="preserve"> PAGEREF _Toc657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"_Toc3284" </w:instrText>
          </w:r>
          <w:r>
            <w:fldChar w:fldCharType="separate"/>
          </w:r>
          <w:r>
            <w:rPr>
              <w:rFonts w:cs="宋体"/>
              <w:sz w:val="28"/>
              <w:szCs w:val="28"/>
            </w:rPr>
            <w:t>三、</w:t>
          </w:r>
          <w:r>
            <w:rPr>
              <w:rFonts w:hint="eastAsia" w:cs="宋体"/>
              <w:sz w:val="28"/>
              <w:szCs w:val="28"/>
            </w:rPr>
            <w:t>单位</w:t>
          </w:r>
          <w:r>
            <w:rPr>
              <w:rFonts w:cs="宋体"/>
              <w:sz w:val="28"/>
              <w:szCs w:val="28"/>
            </w:rPr>
            <w:t>主要工作总结</w:t>
          </w:r>
          <w:r>
            <w:rPr>
              <w:sz w:val="28"/>
              <w:szCs w:val="28"/>
            </w:rPr>
            <w:tab/>
          </w:r>
          <w:r>
            <w:rPr>
              <w:sz w:val="28"/>
              <w:szCs w:val="28"/>
            </w:rPr>
            <w:fldChar w:fldCharType="begin"/>
          </w:r>
          <w:r>
            <w:rPr>
              <w:sz w:val="28"/>
              <w:szCs w:val="28"/>
            </w:rPr>
            <w:instrText xml:space="preserve"> PAGEREF _Toc3284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tabs>
              <w:tab w:val="right" w:leader="dot" w:pos="8315"/>
            </w:tabs>
            <w:spacing w:line="500" w:lineRule="exact"/>
            <w:rPr>
              <w:b/>
              <w:sz w:val="28"/>
              <w:szCs w:val="28"/>
            </w:rPr>
          </w:pPr>
          <w:r>
            <w:fldChar w:fldCharType="begin"/>
          </w:r>
          <w:r>
            <w:instrText xml:space="preserve"> HYPERLINK \l "_Toc21159" </w:instrText>
          </w:r>
          <w:r>
            <w:fldChar w:fldCharType="separate"/>
          </w:r>
          <w:r>
            <w:rPr>
              <w:rFonts w:hint="eastAsia" w:cs="宋体"/>
              <w:b/>
              <w:sz w:val="28"/>
              <w:szCs w:val="28"/>
            </w:rPr>
            <w:t xml:space="preserve">第二部分 </w:t>
          </w:r>
          <w:r>
            <w:rPr>
              <w:rFonts w:cs="宋体"/>
              <w:b/>
              <w:sz w:val="28"/>
              <w:szCs w:val="28"/>
            </w:rPr>
            <w:t>2021年度部门决算表</w:t>
          </w:r>
          <w:r>
            <w:rPr>
              <w:b/>
              <w:sz w:val="28"/>
              <w:szCs w:val="28"/>
            </w:rPr>
            <w:tab/>
          </w:r>
          <w:r>
            <w:rPr>
              <w:b/>
              <w:sz w:val="28"/>
              <w:szCs w:val="28"/>
            </w:rPr>
            <w:fldChar w:fldCharType="begin"/>
          </w:r>
          <w:r>
            <w:rPr>
              <w:b/>
              <w:sz w:val="28"/>
              <w:szCs w:val="28"/>
            </w:rPr>
            <w:instrText xml:space="preserve"> PAGEREF _Toc21159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"_Toc7881" </w:instrText>
          </w:r>
          <w:r>
            <w:fldChar w:fldCharType="separate"/>
          </w:r>
          <w:r>
            <w:rPr>
              <w:rFonts w:cs="宋体"/>
              <w:sz w:val="28"/>
              <w:szCs w:val="28"/>
            </w:rPr>
            <w:t>一、收入支出决算总表</w:t>
          </w:r>
          <w:r>
            <w:rPr>
              <w:sz w:val="28"/>
              <w:szCs w:val="28"/>
            </w:rPr>
            <w:tab/>
          </w:r>
          <w:r>
            <w:rPr>
              <w:sz w:val="28"/>
              <w:szCs w:val="28"/>
            </w:rPr>
            <w:fldChar w:fldCharType="begin"/>
          </w:r>
          <w:r>
            <w:rPr>
              <w:sz w:val="28"/>
              <w:szCs w:val="28"/>
            </w:rPr>
            <w:instrText xml:space="preserve"> PAGEREF _Toc7881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"_Toc16194" </w:instrText>
          </w:r>
          <w:r>
            <w:fldChar w:fldCharType="separate"/>
          </w:r>
          <w:r>
            <w:rPr>
              <w:rFonts w:cs="宋体"/>
              <w:sz w:val="28"/>
              <w:szCs w:val="28"/>
            </w:rPr>
            <w:t>二、收入决算表</w:t>
          </w:r>
          <w:r>
            <w:rPr>
              <w:sz w:val="28"/>
              <w:szCs w:val="28"/>
            </w:rPr>
            <w:tab/>
          </w:r>
          <w:r>
            <w:rPr>
              <w:sz w:val="28"/>
              <w:szCs w:val="28"/>
            </w:rPr>
            <w:fldChar w:fldCharType="begin"/>
          </w:r>
          <w:r>
            <w:rPr>
              <w:sz w:val="28"/>
              <w:szCs w:val="28"/>
            </w:rPr>
            <w:instrText xml:space="preserve"> PAGEREF _Toc16194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"_Toc30255" </w:instrText>
          </w:r>
          <w:r>
            <w:fldChar w:fldCharType="separate"/>
          </w:r>
          <w:r>
            <w:rPr>
              <w:rFonts w:cs="宋体"/>
              <w:sz w:val="28"/>
              <w:szCs w:val="28"/>
            </w:rPr>
            <w:t>三、支出决算表</w:t>
          </w:r>
          <w:r>
            <w:rPr>
              <w:sz w:val="28"/>
              <w:szCs w:val="28"/>
            </w:rPr>
            <w:tab/>
          </w:r>
          <w:r>
            <w:rPr>
              <w:sz w:val="28"/>
              <w:szCs w:val="28"/>
            </w:rPr>
            <w:fldChar w:fldCharType="begin"/>
          </w:r>
          <w:r>
            <w:rPr>
              <w:sz w:val="28"/>
              <w:szCs w:val="28"/>
            </w:rPr>
            <w:instrText xml:space="preserve"> PAGEREF _Toc30255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"_Toc21388" </w:instrText>
          </w:r>
          <w:r>
            <w:fldChar w:fldCharType="separate"/>
          </w:r>
          <w:r>
            <w:rPr>
              <w:rFonts w:cs="宋体"/>
              <w:sz w:val="28"/>
              <w:szCs w:val="28"/>
            </w:rPr>
            <w:t>四、财政拨款收入支出决算总表</w:t>
          </w:r>
          <w:r>
            <w:rPr>
              <w:sz w:val="28"/>
              <w:szCs w:val="28"/>
            </w:rPr>
            <w:tab/>
          </w:r>
          <w:r>
            <w:rPr>
              <w:sz w:val="28"/>
              <w:szCs w:val="28"/>
            </w:rPr>
            <w:fldChar w:fldCharType="begin"/>
          </w:r>
          <w:r>
            <w:rPr>
              <w:sz w:val="28"/>
              <w:szCs w:val="28"/>
            </w:rPr>
            <w:instrText xml:space="preserve"> PAGEREF _Toc21388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"_Toc4982" </w:instrText>
          </w:r>
          <w:r>
            <w:fldChar w:fldCharType="separate"/>
          </w:r>
          <w:r>
            <w:rPr>
              <w:rFonts w:cs="宋体"/>
              <w:sz w:val="28"/>
              <w:szCs w:val="28"/>
            </w:rPr>
            <w:t>五、一般公共预算财政拨款支出决算表</w:t>
          </w:r>
          <w:r>
            <w:rPr>
              <w:sz w:val="28"/>
              <w:szCs w:val="28"/>
            </w:rPr>
            <w:tab/>
          </w:r>
          <w:r>
            <w:rPr>
              <w:sz w:val="28"/>
              <w:szCs w:val="28"/>
            </w:rPr>
            <w:fldChar w:fldCharType="begin"/>
          </w:r>
          <w:r>
            <w:rPr>
              <w:sz w:val="28"/>
              <w:szCs w:val="28"/>
            </w:rPr>
            <w:instrText xml:space="preserve"> PAGEREF _Toc4982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"_Toc28773" </w:instrText>
          </w:r>
          <w:r>
            <w:fldChar w:fldCharType="separate"/>
          </w:r>
          <w:r>
            <w:rPr>
              <w:rFonts w:cs="宋体"/>
              <w:sz w:val="28"/>
              <w:szCs w:val="28"/>
            </w:rPr>
            <w:t>六、一般公共预算财政拨款基本支出决算表</w:t>
          </w:r>
          <w:r>
            <w:rPr>
              <w:sz w:val="28"/>
              <w:szCs w:val="28"/>
            </w:rPr>
            <w:tab/>
          </w:r>
          <w:r>
            <w:rPr>
              <w:sz w:val="28"/>
              <w:szCs w:val="28"/>
            </w:rPr>
            <w:fldChar w:fldCharType="begin"/>
          </w:r>
          <w:r>
            <w:rPr>
              <w:sz w:val="28"/>
              <w:szCs w:val="28"/>
            </w:rPr>
            <w:instrText xml:space="preserve"> PAGEREF _Toc28773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"_Toc21891" </w:instrText>
          </w:r>
          <w:r>
            <w:fldChar w:fldCharType="separate"/>
          </w:r>
          <w:r>
            <w:rPr>
              <w:rFonts w:cs="宋体"/>
              <w:sz w:val="28"/>
              <w:szCs w:val="28"/>
            </w:rPr>
            <w:t>七、一般公共预算财政拨款“三公”经费支出决算表</w:t>
          </w:r>
          <w:r>
            <w:rPr>
              <w:sz w:val="28"/>
              <w:szCs w:val="28"/>
            </w:rPr>
            <w:tab/>
          </w:r>
          <w:r>
            <w:rPr>
              <w:sz w:val="28"/>
              <w:szCs w:val="28"/>
            </w:rPr>
            <w:fldChar w:fldCharType="begin"/>
          </w:r>
          <w:r>
            <w:rPr>
              <w:sz w:val="28"/>
              <w:szCs w:val="28"/>
            </w:rPr>
            <w:instrText xml:space="preserve"> PAGEREF _Toc21891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"_Toc31891" </w:instrText>
          </w:r>
          <w:r>
            <w:fldChar w:fldCharType="separate"/>
          </w:r>
          <w:r>
            <w:rPr>
              <w:rFonts w:cs="宋体"/>
              <w:sz w:val="28"/>
              <w:szCs w:val="28"/>
            </w:rPr>
            <w:t>八、政府性基金预算财政拨款收入支出决算表</w:t>
          </w:r>
          <w:r>
            <w:rPr>
              <w:sz w:val="28"/>
              <w:szCs w:val="28"/>
            </w:rPr>
            <w:tab/>
          </w:r>
          <w:r>
            <w:rPr>
              <w:sz w:val="28"/>
              <w:szCs w:val="28"/>
            </w:rPr>
            <w:fldChar w:fldCharType="begin"/>
          </w:r>
          <w:r>
            <w:rPr>
              <w:sz w:val="28"/>
              <w:szCs w:val="28"/>
            </w:rPr>
            <w:instrText xml:space="preserve"> PAGEREF _Toc31891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"_Toc26007" </w:instrText>
          </w:r>
          <w:r>
            <w:fldChar w:fldCharType="separate"/>
          </w:r>
          <w:r>
            <w:rPr>
              <w:rFonts w:cs="宋体"/>
              <w:sz w:val="28"/>
              <w:szCs w:val="28"/>
            </w:rPr>
            <w:t>九、国有资本经营预算财政拨款支出决算表</w:t>
          </w:r>
          <w:r>
            <w:rPr>
              <w:sz w:val="28"/>
              <w:szCs w:val="28"/>
            </w:rPr>
            <w:tab/>
          </w:r>
          <w:r>
            <w:rPr>
              <w:sz w:val="28"/>
              <w:szCs w:val="28"/>
            </w:rPr>
            <w:fldChar w:fldCharType="begin"/>
          </w:r>
          <w:r>
            <w:rPr>
              <w:sz w:val="28"/>
              <w:szCs w:val="28"/>
            </w:rPr>
            <w:instrText xml:space="preserve"> PAGEREF _Toc26007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6"/>
            <w:tabs>
              <w:tab w:val="right" w:leader="dot" w:pos="8315"/>
            </w:tabs>
            <w:spacing w:line="500" w:lineRule="exact"/>
            <w:rPr>
              <w:b/>
              <w:sz w:val="28"/>
              <w:szCs w:val="28"/>
            </w:rPr>
          </w:pPr>
          <w:r>
            <w:fldChar w:fldCharType="begin"/>
          </w:r>
          <w:r>
            <w:instrText xml:space="preserve"> HYPERLINK \l "_Toc11170" </w:instrText>
          </w:r>
          <w:r>
            <w:fldChar w:fldCharType="separate"/>
          </w:r>
          <w:r>
            <w:rPr>
              <w:rFonts w:cs="宋体"/>
              <w:b/>
              <w:sz w:val="28"/>
              <w:szCs w:val="28"/>
            </w:rPr>
            <w:t>第三部分 2021年度部门决算情况说明</w:t>
          </w:r>
          <w:r>
            <w:rPr>
              <w:b/>
              <w:sz w:val="28"/>
              <w:szCs w:val="28"/>
            </w:rPr>
            <w:tab/>
          </w:r>
          <w:r>
            <w:rPr>
              <w:b/>
              <w:sz w:val="28"/>
              <w:szCs w:val="28"/>
            </w:rPr>
            <w:fldChar w:fldCharType="begin"/>
          </w:r>
          <w:r>
            <w:rPr>
              <w:b/>
              <w:sz w:val="28"/>
              <w:szCs w:val="28"/>
            </w:rPr>
            <w:instrText xml:space="preserve"> PAGEREF _Toc11170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"_Toc17199" </w:instrText>
          </w:r>
          <w:r>
            <w:fldChar w:fldCharType="separate"/>
          </w:r>
          <w:r>
            <w:rPr>
              <w:rFonts w:cs="宋体"/>
              <w:sz w:val="28"/>
              <w:szCs w:val="28"/>
            </w:rPr>
            <w:t>一、收入支出决算总体情况说明</w:t>
          </w:r>
          <w:r>
            <w:rPr>
              <w:sz w:val="28"/>
              <w:szCs w:val="28"/>
            </w:rPr>
            <w:tab/>
          </w:r>
          <w:r>
            <w:rPr>
              <w:sz w:val="28"/>
              <w:szCs w:val="28"/>
            </w:rPr>
            <w:fldChar w:fldCharType="begin"/>
          </w:r>
          <w:r>
            <w:rPr>
              <w:sz w:val="28"/>
              <w:szCs w:val="28"/>
            </w:rPr>
            <w:instrText xml:space="preserve"> PAGEREF _Toc17199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"_Toc14514" </w:instrText>
          </w:r>
          <w:r>
            <w:fldChar w:fldCharType="separate"/>
          </w:r>
          <w:r>
            <w:rPr>
              <w:rFonts w:cs="宋体"/>
              <w:sz w:val="28"/>
              <w:szCs w:val="28"/>
            </w:rPr>
            <w:t>二、一般公共预算拨款支出决算情况说明</w:t>
          </w:r>
          <w:r>
            <w:rPr>
              <w:sz w:val="28"/>
              <w:szCs w:val="28"/>
            </w:rPr>
            <w:tab/>
          </w:r>
          <w:r>
            <w:rPr>
              <w:sz w:val="28"/>
              <w:szCs w:val="28"/>
            </w:rPr>
            <w:fldChar w:fldCharType="begin"/>
          </w:r>
          <w:r>
            <w:rPr>
              <w:sz w:val="28"/>
              <w:szCs w:val="28"/>
            </w:rPr>
            <w:instrText xml:space="preserve"> PAGEREF _Toc14514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"_Toc30744" </w:instrText>
          </w:r>
          <w:r>
            <w:fldChar w:fldCharType="separate"/>
          </w:r>
          <w:r>
            <w:rPr>
              <w:rFonts w:cs="宋体"/>
              <w:sz w:val="28"/>
              <w:szCs w:val="28"/>
            </w:rPr>
            <w:t>三、政府性基金财政拨款支出决算情况说明</w:t>
          </w:r>
          <w:r>
            <w:rPr>
              <w:sz w:val="28"/>
              <w:szCs w:val="28"/>
            </w:rPr>
            <w:tab/>
          </w:r>
          <w:r>
            <w:rPr>
              <w:sz w:val="28"/>
              <w:szCs w:val="28"/>
            </w:rPr>
            <w:fldChar w:fldCharType="begin"/>
          </w:r>
          <w:r>
            <w:rPr>
              <w:sz w:val="28"/>
              <w:szCs w:val="28"/>
            </w:rPr>
            <w:instrText xml:space="preserve"> PAGEREF _Toc30744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"_Toc7363" </w:instrText>
          </w:r>
          <w:r>
            <w:fldChar w:fldCharType="separate"/>
          </w:r>
          <w:r>
            <w:rPr>
              <w:rFonts w:cs="宋体"/>
              <w:sz w:val="28"/>
              <w:szCs w:val="28"/>
            </w:rPr>
            <w:t>四、国有资本经营预算财政拨款支出决算情况说明</w:t>
          </w:r>
          <w:r>
            <w:rPr>
              <w:sz w:val="28"/>
              <w:szCs w:val="28"/>
            </w:rPr>
            <w:tab/>
          </w:r>
          <w:r>
            <w:rPr>
              <w:sz w:val="28"/>
              <w:szCs w:val="28"/>
            </w:rPr>
            <w:fldChar w:fldCharType="begin"/>
          </w:r>
          <w:r>
            <w:rPr>
              <w:sz w:val="28"/>
              <w:szCs w:val="28"/>
            </w:rPr>
            <w:instrText xml:space="preserve"> PAGEREF _Toc7363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"_Toc32284" </w:instrText>
          </w:r>
          <w:r>
            <w:fldChar w:fldCharType="separate"/>
          </w:r>
          <w:r>
            <w:rPr>
              <w:rFonts w:cs="宋体"/>
              <w:sz w:val="28"/>
              <w:szCs w:val="28"/>
            </w:rPr>
            <w:t>五、一般公共预算财政拨款基本支出决算情况说明</w:t>
          </w:r>
          <w:r>
            <w:rPr>
              <w:sz w:val="28"/>
              <w:szCs w:val="28"/>
            </w:rPr>
            <w:tab/>
          </w:r>
          <w:r>
            <w:rPr>
              <w:sz w:val="28"/>
              <w:szCs w:val="28"/>
            </w:rPr>
            <w:fldChar w:fldCharType="begin"/>
          </w:r>
          <w:r>
            <w:rPr>
              <w:sz w:val="28"/>
              <w:szCs w:val="28"/>
            </w:rPr>
            <w:instrText xml:space="preserve"> PAGEREF _Toc32284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"_Toc17464" </w:instrText>
          </w:r>
          <w:r>
            <w:fldChar w:fldCharType="separate"/>
          </w:r>
          <w:r>
            <w:rPr>
              <w:sz w:val="28"/>
              <w:szCs w:val="28"/>
            </w:rPr>
            <w:t>六、一般公共预算拨款“三公”经费支出决算情况</w:t>
          </w:r>
          <w:r>
            <w:rPr>
              <w:rFonts w:hint="eastAsia"/>
              <w:sz w:val="28"/>
              <w:szCs w:val="28"/>
            </w:rPr>
            <w:t xml:space="preserve"> </w:t>
          </w:r>
          <w:r>
            <w:rPr>
              <w:sz w:val="28"/>
              <w:szCs w:val="28"/>
            </w:rPr>
            <w:t>说明</w:t>
          </w:r>
          <w:r>
            <w:rPr>
              <w:sz w:val="28"/>
              <w:szCs w:val="28"/>
            </w:rPr>
            <w:tab/>
          </w:r>
          <w:r>
            <w:rPr>
              <w:sz w:val="28"/>
              <w:szCs w:val="28"/>
            </w:rPr>
            <w:fldChar w:fldCharType="begin"/>
          </w:r>
          <w:r>
            <w:rPr>
              <w:sz w:val="28"/>
              <w:szCs w:val="28"/>
            </w:rPr>
            <w:instrText xml:space="preserve"> PAGEREF _Toc17464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"_Toc27357" </w:instrText>
          </w:r>
          <w:r>
            <w:fldChar w:fldCharType="separate"/>
          </w:r>
          <w:r>
            <w:rPr>
              <w:sz w:val="28"/>
              <w:szCs w:val="28"/>
            </w:rPr>
            <w:t>七、预算绩效情况说明</w:t>
          </w:r>
          <w:r>
            <w:rPr>
              <w:sz w:val="28"/>
              <w:szCs w:val="28"/>
            </w:rPr>
            <w:tab/>
          </w:r>
          <w:r>
            <w:rPr>
              <w:sz w:val="28"/>
              <w:szCs w:val="28"/>
            </w:rPr>
            <w:fldChar w:fldCharType="begin"/>
          </w:r>
          <w:r>
            <w:rPr>
              <w:sz w:val="28"/>
              <w:szCs w:val="28"/>
            </w:rPr>
            <w:instrText xml:space="preserve"> PAGEREF _Toc27357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7"/>
            <w:tabs>
              <w:tab w:val="right" w:leader="dot" w:pos="8315"/>
            </w:tabs>
            <w:spacing w:line="500" w:lineRule="exact"/>
            <w:ind w:left="480"/>
            <w:rPr>
              <w:sz w:val="28"/>
              <w:szCs w:val="28"/>
            </w:rPr>
          </w:pPr>
          <w:r>
            <w:fldChar w:fldCharType="begin"/>
          </w:r>
          <w:r>
            <w:instrText xml:space="preserve"> HYPERLINK \l "_Toc9648" </w:instrText>
          </w:r>
          <w:r>
            <w:fldChar w:fldCharType="separate"/>
          </w:r>
          <w:r>
            <w:rPr>
              <w:rFonts w:cs="宋体"/>
              <w:sz w:val="28"/>
              <w:szCs w:val="28"/>
            </w:rPr>
            <w:t>八、其他重要事项说明</w:t>
          </w:r>
          <w:r>
            <w:rPr>
              <w:sz w:val="28"/>
              <w:szCs w:val="28"/>
            </w:rPr>
            <w:tab/>
          </w:r>
          <w:r>
            <w:rPr>
              <w:sz w:val="28"/>
              <w:szCs w:val="28"/>
            </w:rPr>
            <w:fldChar w:fldCharType="begin"/>
          </w:r>
          <w:r>
            <w:rPr>
              <w:sz w:val="28"/>
              <w:szCs w:val="28"/>
            </w:rPr>
            <w:instrText xml:space="preserve"> PAGEREF _Toc9648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6"/>
            <w:tabs>
              <w:tab w:val="right" w:leader="dot" w:pos="8315"/>
            </w:tabs>
            <w:spacing w:line="500" w:lineRule="exact"/>
            <w:rPr>
              <w:b/>
              <w:sz w:val="28"/>
              <w:szCs w:val="28"/>
            </w:rPr>
          </w:pPr>
          <w:r>
            <w:fldChar w:fldCharType="begin"/>
          </w:r>
          <w:r>
            <w:instrText xml:space="preserve"> HYPERLINK \l "_Toc23527" </w:instrText>
          </w:r>
          <w:r>
            <w:fldChar w:fldCharType="separate"/>
          </w:r>
          <w:r>
            <w:rPr>
              <w:rFonts w:cs="宋体"/>
              <w:b/>
              <w:sz w:val="28"/>
              <w:szCs w:val="28"/>
            </w:rPr>
            <w:t>第四部分 名词解释</w:t>
          </w:r>
          <w:r>
            <w:rPr>
              <w:b/>
              <w:sz w:val="28"/>
              <w:szCs w:val="28"/>
            </w:rPr>
            <w:tab/>
          </w:r>
          <w:r>
            <w:rPr>
              <w:b/>
              <w:sz w:val="28"/>
              <w:szCs w:val="28"/>
            </w:rPr>
            <w:fldChar w:fldCharType="begin"/>
          </w:r>
          <w:r>
            <w:rPr>
              <w:b/>
              <w:sz w:val="28"/>
              <w:szCs w:val="28"/>
            </w:rPr>
            <w:instrText xml:space="preserve"> PAGEREF _Toc23527 \h </w:instrText>
          </w:r>
          <w:r>
            <w:rPr>
              <w:b/>
              <w:sz w:val="28"/>
              <w:szCs w:val="28"/>
            </w:rPr>
            <w:fldChar w:fldCharType="separate"/>
          </w:r>
          <w:r>
            <w:rPr>
              <w:b/>
              <w:sz w:val="28"/>
              <w:szCs w:val="28"/>
            </w:rPr>
            <w:t>17</w:t>
          </w:r>
          <w:r>
            <w:rPr>
              <w:b/>
              <w:sz w:val="28"/>
              <w:szCs w:val="28"/>
            </w:rPr>
            <w:fldChar w:fldCharType="end"/>
          </w:r>
          <w:r>
            <w:rPr>
              <w:b/>
              <w:sz w:val="28"/>
              <w:szCs w:val="28"/>
            </w:rPr>
            <w:fldChar w:fldCharType="end"/>
          </w:r>
          <w:bookmarkStart w:id="175" w:name="_GoBack"/>
          <w:bookmarkEnd w:id="175"/>
        </w:p>
        <w:p>
          <w:pPr>
            <w:pStyle w:val="26"/>
            <w:tabs>
              <w:tab w:val="right" w:leader="dot" w:pos="8315"/>
            </w:tabs>
            <w:spacing w:line="500" w:lineRule="exact"/>
            <w:rPr>
              <w:b/>
              <w:sz w:val="28"/>
              <w:szCs w:val="28"/>
            </w:rPr>
          </w:pPr>
          <w:r>
            <w:fldChar w:fldCharType="begin"/>
          </w:r>
          <w:r>
            <w:instrText xml:space="preserve"> HYPERLINK \l "_Toc27745" </w:instrText>
          </w:r>
          <w:r>
            <w:fldChar w:fldCharType="separate"/>
          </w:r>
          <w:r>
            <w:rPr>
              <w:rFonts w:cs="宋体"/>
              <w:b/>
              <w:sz w:val="28"/>
              <w:szCs w:val="28"/>
            </w:rPr>
            <w:t>第五部分 附件</w:t>
          </w:r>
          <w:r>
            <w:rPr>
              <w:b/>
              <w:sz w:val="28"/>
              <w:szCs w:val="28"/>
            </w:rPr>
            <w:tab/>
          </w:r>
          <w:r>
            <w:rPr>
              <w:b/>
              <w:sz w:val="28"/>
              <w:szCs w:val="28"/>
            </w:rPr>
            <w:fldChar w:fldCharType="begin"/>
          </w:r>
          <w:r>
            <w:rPr>
              <w:b/>
              <w:sz w:val="28"/>
              <w:szCs w:val="28"/>
            </w:rPr>
            <w:instrText xml:space="preserve"> PAGEREF _Toc27745 \h </w:instrText>
          </w:r>
          <w:r>
            <w:rPr>
              <w:b/>
              <w:sz w:val="28"/>
              <w:szCs w:val="28"/>
            </w:rPr>
            <w:fldChar w:fldCharType="separate"/>
          </w:r>
          <w:r>
            <w:rPr>
              <w:b/>
              <w:sz w:val="28"/>
              <w:szCs w:val="28"/>
            </w:rPr>
            <w:t>19</w:t>
          </w:r>
          <w:r>
            <w:rPr>
              <w:b/>
              <w:sz w:val="28"/>
              <w:szCs w:val="28"/>
            </w:rPr>
            <w:fldChar w:fldCharType="end"/>
          </w:r>
          <w:r>
            <w:rPr>
              <w:b/>
              <w:sz w:val="28"/>
              <w:szCs w:val="28"/>
            </w:rPr>
            <w:fldChar w:fldCharType="end"/>
          </w:r>
        </w:p>
        <w:p>
          <w:pPr>
            <w:spacing w:line="500" w:lineRule="exact"/>
            <w:rPr>
              <w:rFonts w:hint="default"/>
            </w:rPr>
          </w:pPr>
          <w:r>
            <w:rPr>
              <w:b/>
              <w:sz w:val="28"/>
              <w:szCs w:val="28"/>
            </w:rPr>
            <w:fldChar w:fldCharType="end"/>
          </w:r>
        </w:p>
      </w:sdtContent>
    </w:sdt>
    <w:p>
      <w:pPr>
        <w:spacing w:line="500" w:lineRule="exact"/>
        <w:rPr>
          <w:rFonts w:hint="default"/>
        </w:rPr>
        <w:sectPr>
          <w:pgSz w:w="11915" w:h="16840"/>
          <w:pgMar w:top="1440" w:right="1800" w:bottom="1440" w:left="1800" w:header="851" w:footer="992" w:gutter="0"/>
          <w:pgNumType w:start="1"/>
          <w:cols w:space="0" w:num="1"/>
          <w:docGrid w:type="lines" w:linePitch="312" w:charSpace="0"/>
        </w:sectPr>
      </w:pPr>
      <w:bookmarkStart w:id="0" w:name="_Toc31703"/>
      <w:bookmarkEnd w:id="0"/>
      <w:bookmarkStart w:id="1" w:name="_Toc1553"/>
      <w:bookmarkStart w:id="2" w:name="_Toc3369"/>
      <w:bookmarkStart w:id="3" w:name="_Toc26252"/>
      <w:bookmarkStart w:id="4" w:name="_Toc26743"/>
      <w:bookmarkStart w:id="5" w:name="_Toc2801"/>
      <w:bookmarkStart w:id="6" w:name="_Toc16585"/>
    </w:p>
    <w:p>
      <w:pPr>
        <w:pStyle w:val="2"/>
        <w:jc w:val="center"/>
        <w:rPr>
          <w:rFonts w:hint="default" w:cs="宋体"/>
          <w:sz w:val="36"/>
          <w:szCs w:val="36"/>
        </w:rPr>
      </w:pPr>
      <w:r>
        <w:rPr>
          <w:rFonts w:cs="宋体"/>
        </w:rPr>
        <w:t>第一部分 部门概况</w:t>
      </w:r>
      <w:bookmarkEnd w:id="1"/>
      <w:bookmarkEnd w:id="2"/>
      <w:bookmarkEnd w:id="3"/>
      <w:bookmarkEnd w:id="4"/>
      <w:bookmarkEnd w:id="5"/>
      <w:bookmarkEnd w:id="6"/>
      <w:r>
        <w:rPr>
          <w:rFonts w:cs="宋体"/>
          <w:sz w:val="36"/>
          <w:szCs w:val="36"/>
        </w:rPr>
        <w:t xml:space="preserve"> </w:t>
      </w:r>
    </w:p>
    <w:p>
      <w:pPr>
        <w:pStyle w:val="3"/>
        <w:rPr>
          <w:rFonts w:hint="default" w:cs="宋体"/>
        </w:rPr>
      </w:pPr>
      <w:bookmarkStart w:id="7" w:name="_Toc3942"/>
      <w:bookmarkEnd w:id="7"/>
      <w:bookmarkStart w:id="8" w:name="_Toc25453"/>
      <w:bookmarkStart w:id="9" w:name="_Toc25843"/>
      <w:bookmarkStart w:id="10" w:name="_Toc19992"/>
      <w:bookmarkStart w:id="11" w:name="_Toc4503"/>
      <w:bookmarkStart w:id="12" w:name="_Toc10588"/>
      <w:bookmarkStart w:id="13" w:name="_Toc16222"/>
      <w:r>
        <w:rPr>
          <w:rFonts w:cs="宋体"/>
        </w:rPr>
        <w:t>一、单位主要职责</w:t>
      </w:r>
      <w:bookmarkEnd w:id="8"/>
      <w:bookmarkEnd w:id="9"/>
      <w:bookmarkEnd w:id="10"/>
      <w:bookmarkEnd w:id="11"/>
      <w:bookmarkEnd w:id="12"/>
      <w:bookmarkEnd w:id="13"/>
    </w:p>
    <w:p>
      <w:pPr>
        <w:adjustRightInd w:val="0"/>
        <w:snapToGrid w:val="0"/>
        <w:spacing w:line="600" w:lineRule="exact"/>
        <w:ind w:firstLine="560" w:firstLineChars="200"/>
        <w:rPr>
          <w:rFonts w:hint="default" w:cs="宋体"/>
          <w:sz w:val="32"/>
          <w:szCs w:val="32"/>
        </w:rPr>
      </w:pPr>
      <w:r>
        <w:rPr>
          <w:rFonts w:cs="宋体"/>
          <w:sz w:val="28"/>
          <w:szCs w:val="28"/>
        </w:rPr>
        <w:t>渣土处置中心的主要职责是：</w:t>
      </w:r>
      <w:r>
        <w:rPr>
          <w:rFonts w:cs="宋体"/>
          <w:color w:val="000000"/>
          <w:sz w:val="28"/>
          <w:szCs w:val="28"/>
          <w:shd w:val="clear" w:color="auto" w:fill="FFFFFF"/>
        </w:rPr>
        <w:t>对全市建筑垃圾工程渣土制订统一处置计划,并具体负责安排对建筑垃圾、工程渣土的处置统筹;对各区建筑垃圾工程渣土管理工作进行监督、指导、协调、仲裁</w:t>
      </w:r>
      <w:r>
        <w:rPr>
          <w:rFonts w:cs="宋体"/>
          <w:sz w:val="28"/>
          <w:szCs w:val="28"/>
        </w:rPr>
        <w:t>。</w:t>
      </w:r>
    </w:p>
    <w:p>
      <w:pPr>
        <w:pStyle w:val="3"/>
        <w:rPr>
          <w:rFonts w:hint="default" w:cs="宋体"/>
        </w:rPr>
      </w:pPr>
      <w:bookmarkStart w:id="14" w:name="_Toc2024"/>
      <w:bookmarkEnd w:id="14"/>
      <w:bookmarkStart w:id="15" w:name="_Toc26373"/>
      <w:bookmarkStart w:id="16" w:name="_Toc2249"/>
      <w:bookmarkStart w:id="17" w:name="_Toc17590"/>
      <w:bookmarkStart w:id="18" w:name="_Toc657"/>
      <w:bookmarkStart w:id="19" w:name="_Toc18481"/>
      <w:bookmarkStart w:id="20" w:name="_Toc26266"/>
      <w:r>
        <w:rPr>
          <w:rFonts w:cs="宋体"/>
        </w:rPr>
        <w:t>二、单位基本情况</w:t>
      </w:r>
      <w:bookmarkEnd w:id="15"/>
      <w:bookmarkEnd w:id="16"/>
      <w:bookmarkEnd w:id="17"/>
      <w:bookmarkEnd w:id="18"/>
      <w:bookmarkEnd w:id="19"/>
      <w:bookmarkEnd w:id="20"/>
    </w:p>
    <w:p>
      <w:pPr>
        <w:ind w:firstLine="560" w:firstLineChars="200"/>
        <w:rPr>
          <w:rFonts w:hint="default"/>
          <w:sz w:val="28"/>
          <w:szCs w:val="28"/>
        </w:rPr>
      </w:pPr>
      <w:r>
        <w:rPr>
          <w:sz w:val="28"/>
          <w:szCs w:val="28"/>
        </w:rPr>
        <w:t>从决算单位构成看，渣土</w:t>
      </w:r>
      <w:r>
        <w:rPr>
          <w:rFonts w:hint="default"/>
          <w:sz w:val="28"/>
          <w:szCs w:val="28"/>
        </w:rPr>
        <w:t>处置中心</w:t>
      </w:r>
      <w:r>
        <w:rPr>
          <w:sz w:val="28"/>
          <w:szCs w:val="28"/>
        </w:rPr>
        <w:t>包括办公室、业务科、督察保洁科、企业管理科四个科室。其</w:t>
      </w:r>
      <w:r>
        <w:rPr>
          <w:rFonts w:hint="default"/>
          <w:sz w:val="28"/>
          <w:szCs w:val="28"/>
        </w:rPr>
        <w:t>中列入</w:t>
      </w:r>
      <w:r>
        <w:rPr>
          <w:sz w:val="28"/>
          <w:szCs w:val="28"/>
        </w:rPr>
        <w:t>2021年</w:t>
      </w:r>
      <w:r>
        <w:rPr>
          <w:rFonts w:hint="default"/>
          <w:sz w:val="28"/>
          <w:szCs w:val="28"/>
        </w:rPr>
        <w:t>部门决算编制的单位详细情况见下表：</w:t>
      </w:r>
    </w:p>
    <w:tbl>
      <w:tblPr>
        <w:tblStyle w:val="16"/>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hint="default" w:ascii="仿宋" w:hAnsi="仿宋" w:eastAsia="仿宋" w:cs="仿宋_GB2312"/>
                <w:sz w:val="32"/>
                <w:szCs w:val="32"/>
              </w:rPr>
            </w:pPr>
            <w:r>
              <w:rPr>
                <w:rFonts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hint="default" w:ascii="仿宋" w:hAnsi="仿宋" w:eastAsia="仿宋" w:cs="仿宋_GB2312"/>
                <w:sz w:val="32"/>
                <w:szCs w:val="32"/>
              </w:rPr>
            </w:pPr>
            <w:r>
              <w:rPr>
                <w:rFonts w:ascii="仿宋" w:hAnsi="仿宋" w:eastAsia="仿宋" w:cs="仿宋_GB2312"/>
                <w:sz w:val="32"/>
                <w:szCs w:val="32"/>
              </w:rPr>
              <w:t>单位性质</w:t>
            </w:r>
          </w:p>
        </w:tc>
        <w:tc>
          <w:tcPr>
            <w:tcW w:w="4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hint="default" w:ascii="仿宋" w:hAnsi="仿宋" w:eastAsia="仿宋" w:cs="仿宋_GB2312"/>
                <w:sz w:val="32"/>
                <w:szCs w:val="32"/>
              </w:rPr>
            </w:pPr>
            <w:r>
              <w:rPr>
                <w:rFonts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before="100" w:beforeAutospacing="1" w:after="100" w:afterAutospacing="1" w:line="600" w:lineRule="exact"/>
              <w:jc w:val="center"/>
              <w:rPr>
                <w:rFonts w:hint="default" w:ascii="仿宋" w:hAnsi="仿宋" w:eastAsia="仿宋"/>
                <w:bCs/>
                <w:sz w:val="32"/>
                <w:szCs w:val="32"/>
              </w:rPr>
            </w:pPr>
            <w:r>
              <w:rPr>
                <w:rFonts w:ascii="仿宋" w:hAnsi="仿宋" w:eastAsia="仿宋"/>
                <w:bCs/>
                <w:sz w:val="32"/>
                <w:szCs w:val="32"/>
              </w:rPr>
              <w:t>福州</w:t>
            </w:r>
            <w:r>
              <w:rPr>
                <w:rFonts w:hint="default" w:ascii="仿宋" w:hAnsi="仿宋" w:eastAsia="仿宋"/>
                <w:bCs/>
                <w:sz w:val="32"/>
                <w:szCs w:val="32"/>
              </w:rPr>
              <w:t>市建筑</w:t>
            </w:r>
            <w:r>
              <w:rPr>
                <w:rFonts w:ascii="仿宋" w:hAnsi="仿宋" w:eastAsia="仿宋"/>
                <w:bCs/>
                <w:sz w:val="32"/>
                <w:szCs w:val="32"/>
              </w:rPr>
              <w:t>垃圾</w:t>
            </w:r>
            <w:r>
              <w:rPr>
                <w:rFonts w:hint="default" w:ascii="仿宋" w:hAnsi="仿宋" w:eastAsia="仿宋"/>
                <w:bCs/>
                <w:sz w:val="32"/>
                <w:szCs w:val="32"/>
              </w:rPr>
              <w:t>工程渣土处置中心</w:t>
            </w: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before="100" w:beforeAutospacing="1" w:after="100" w:afterAutospacing="1" w:line="600" w:lineRule="exact"/>
              <w:jc w:val="center"/>
              <w:rPr>
                <w:rFonts w:hint="default" w:ascii="仿宋" w:hAnsi="仿宋" w:eastAsia="仿宋"/>
                <w:bCs/>
                <w:sz w:val="32"/>
                <w:szCs w:val="32"/>
              </w:rPr>
            </w:pPr>
            <w:r>
              <w:rPr>
                <w:rFonts w:ascii="仿宋" w:hAnsi="仿宋" w:eastAsia="仿宋"/>
                <w:bCs/>
                <w:sz w:val="32"/>
                <w:szCs w:val="32"/>
              </w:rPr>
              <w:t>全额</w:t>
            </w:r>
            <w:r>
              <w:rPr>
                <w:rFonts w:hint="default" w:ascii="仿宋" w:hAnsi="仿宋" w:eastAsia="仿宋"/>
                <w:bCs/>
                <w:sz w:val="32"/>
                <w:szCs w:val="32"/>
              </w:rPr>
              <w:t>拨款</w:t>
            </w:r>
          </w:p>
        </w:tc>
        <w:tc>
          <w:tcPr>
            <w:tcW w:w="4276"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before="100" w:beforeAutospacing="1" w:after="100" w:afterAutospacing="1" w:line="600" w:lineRule="exact"/>
              <w:jc w:val="center"/>
              <w:rPr>
                <w:rFonts w:hint="default" w:ascii="仿宋" w:hAnsi="仿宋" w:eastAsia="仿宋"/>
                <w:bCs/>
                <w:sz w:val="32"/>
                <w:szCs w:val="32"/>
              </w:rPr>
            </w:pPr>
            <w:r>
              <w:rPr>
                <w:rFonts w:ascii="仿宋" w:hAnsi="仿宋" w:eastAsia="仿宋"/>
                <w:bCs/>
                <w:sz w:val="32"/>
                <w:szCs w:val="32"/>
              </w:rPr>
              <w:t>13</w:t>
            </w:r>
          </w:p>
        </w:tc>
      </w:tr>
    </w:tbl>
    <w:p>
      <w:pPr>
        <w:pStyle w:val="3"/>
        <w:rPr>
          <w:rFonts w:hint="default" w:cs="宋体"/>
        </w:rPr>
      </w:pPr>
      <w:bookmarkStart w:id="21" w:name="_Toc12231"/>
      <w:bookmarkEnd w:id="21"/>
      <w:bookmarkStart w:id="22" w:name="_Toc22763"/>
      <w:bookmarkStart w:id="23" w:name="_Toc22062"/>
      <w:bookmarkStart w:id="24" w:name="_Toc17784"/>
      <w:bookmarkStart w:id="25" w:name="_Toc9961"/>
      <w:bookmarkStart w:id="26" w:name="_Toc2641"/>
      <w:bookmarkStart w:id="27" w:name="_Toc3284"/>
      <w:r>
        <w:rPr>
          <w:rFonts w:cs="宋体"/>
        </w:rPr>
        <w:t>三、单位主要工作总结</w:t>
      </w:r>
      <w:bookmarkEnd w:id="22"/>
      <w:bookmarkEnd w:id="23"/>
      <w:bookmarkEnd w:id="24"/>
      <w:bookmarkEnd w:id="25"/>
      <w:bookmarkEnd w:id="26"/>
      <w:bookmarkEnd w:id="27"/>
    </w:p>
    <w:p>
      <w:pPr>
        <w:ind w:firstLine="560" w:firstLineChars="200"/>
        <w:rPr>
          <w:rFonts w:hint="default" w:cs="仿宋_GB2312"/>
          <w:sz w:val="28"/>
          <w:szCs w:val="28"/>
        </w:rPr>
      </w:pPr>
      <w:r>
        <w:rPr>
          <w:rFonts w:hint="default" w:cs="仿宋_GB2312"/>
          <w:sz w:val="28"/>
          <w:szCs w:val="28"/>
        </w:rPr>
        <w:t>2021年，渣土处置中心的主要任务是：核准和规范化监管建筑垃圾运输企业及所属运输车辆；对建筑垃圾出土工地和消纳场（回填点）统一监管、调剂使用；市渣土监控平台的运行、监管工作；安全生产、信访维稳。围绕上述任务，重点完成了以下工作：</w:t>
      </w:r>
    </w:p>
    <w:p>
      <w:pPr>
        <w:numPr>
          <w:ilvl w:val="0"/>
          <w:numId w:val="1"/>
        </w:numPr>
        <w:ind w:firstLine="420" w:firstLineChars="150"/>
        <w:rPr>
          <w:rFonts w:hint="default" w:cs="仿宋_GB2312"/>
          <w:sz w:val="28"/>
          <w:szCs w:val="28"/>
        </w:rPr>
      </w:pPr>
      <w:r>
        <w:rPr>
          <w:rFonts w:cs="仿宋_GB2312"/>
          <w:sz w:val="28"/>
          <w:szCs w:val="28"/>
        </w:rPr>
        <w:t>到</w:t>
      </w:r>
      <w:r>
        <w:rPr>
          <w:rFonts w:hint="default" w:cs="仿宋_GB2312"/>
          <w:sz w:val="28"/>
          <w:szCs w:val="28"/>
        </w:rPr>
        <w:t>2021年底我市共有办理运输单的企业共141家，其中渣土运输企业92家，轻型自卸货车企业49家，共有车辆3002部，其中渣土车辆2273部，轻型自卸货车729部。</w:t>
      </w:r>
    </w:p>
    <w:p>
      <w:pPr>
        <w:numPr>
          <w:ilvl w:val="0"/>
          <w:numId w:val="1"/>
        </w:numPr>
        <w:ind w:firstLine="420" w:firstLineChars="150"/>
        <w:rPr>
          <w:rFonts w:hint="default" w:cs="仿宋_GB2312"/>
          <w:sz w:val="28"/>
          <w:szCs w:val="28"/>
        </w:rPr>
      </w:pPr>
      <w:r>
        <w:rPr>
          <w:rFonts w:hint="default" w:cs="仿宋_GB2312"/>
          <w:sz w:val="28"/>
          <w:szCs w:val="28"/>
        </w:rPr>
        <w:t>申报出土工地共1369个，二次装修垃圾项目1937个，渣土处置中心业务窗口共计发出运输单20800张。</w:t>
      </w:r>
    </w:p>
    <w:p>
      <w:pPr>
        <w:numPr>
          <w:ilvl w:val="0"/>
          <w:numId w:val="1"/>
        </w:numPr>
        <w:ind w:firstLine="420" w:firstLineChars="150"/>
        <w:rPr>
          <w:rFonts w:hint="default" w:cs="仿宋_GB2312"/>
          <w:sz w:val="28"/>
          <w:szCs w:val="28"/>
        </w:rPr>
      </w:pPr>
      <w:r>
        <w:rPr>
          <w:rFonts w:cs="仿宋_GB2312"/>
          <w:sz w:val="28"/>
          <w:szCs w:val="28"/>
        </w:rPr>
        <w:t>累计组织督查科人员</w:t>
      </w:r>
      <w:r>
        <w:rPr>
          <w:rFonts w:hint="default" w:cs="仿宋_GB2312"/>
          <w:sz w:val="28"/>
          <w:szCs w:val="28"/>
        </w:rPr>
        <w:t>556人次开展路面督查巡查，共发现违章288起，均已在第一时间移送辖区城管局查处。</w:t>
      </w:r>
    </w:p>
    <w:p>
      <w:pPr>
        <w:numPr>
          <w:ilvl w:val="0"/>
          <w:numId w:val="1"/>
        </w:numPr>
        <w:ind w:firstLine="420" w:firstLineChars="150"/>
        <w:rPr>
          <w:rFonts w:hint="default" w:cs="仿宋_GB2312"/>
          <w:sz w:val="28"/>
          <w:szCs w:val="28"/>
        </w:rPr>
      </w:pPr>
      <w:r>
        <w:rPr>
          <w:rFonts w:cs="仿宋_GB2312"/>
          <w:sz w:val="28"/>
          <w:szCs w:val="28"/>
        </w:rPr>
        <w:t>共实地监管消纳场</w:t>
      </w:r>
      <w:r>
        <w:rPr>
          <w:rFonts w:hint="default" w:cs="仿宋_GB2312"/>
          <w:sz w:val="28"/>
          <w:szCs w:val="28"/>
        </w:rPr>
        <w:t>185个，发出书面整改通知110张</w:t>
      </w:r>
      <w:r>
        <w:rPr>
          <w:rFonts w:cs="仿宋_GB2312"/>
          <w:sz w:val="28"/>
          <w:szCs w:val="28"/>
        </w:rPr>
        <w:t>。</w:t>
      </w:r>
    </w:p>
    <w:p>
      <w:pPr>
        <w:numPr>
          <w:ilvl w:val="0"/>
          <w:numId w:val="1"/>
        </w:numPr>
        <w:ind w:firstLine="420" w:firstLineChars="150"/>
        <w:rPr>
          <w:rFonts w:hint="default" w:cs="仿宋_GB2312"/>
          <w:sz w:val="28"/>
          <w:szCs w:val="28"/>
        </w:rPr>
      </w:pPr>
      <w:r>
        <w:rPr>
          <w:rFonts w:hint="default" w:cs="仿宋_GB2312"/>
          <w:sz w:val="28"/>
          <w:szCs w:val="28"/>
        </w:rPr>
        <w:t>2021年组织建筑垃圾运输企业共7期429人参加安全学习培训。</w:t>
      </w:r>
    </w:p>
    <w:p>
      <w:pPr>
        <w:numPr>
          <w:ilvl w:val="0"/>
          <w:numId w:val="1"/>
        </w:numPr>
        <w:ind w:firstLine="420" w:firstLineChars="150"/>
        <w:rPr>
          <w:rFonts w:hint="default" w:cs="仿宋_GB2312"/>
          <w:sz w:val="28"/>
          <w:szCs w:val="28"/>
        </w:rPr>
      </w:pPr>
      <w:r>
        <w:rPr>
          <w:rFonts w:cs="仿宋_GB2312"/>
          <w:sz w:val="28"/>
          <w:szCs w:val="28"/>
        </w:rPr>
        <w:t>要求企业切实履行安全生产主体责任。</w:t>
      </w:r>
    </w:p>
    <w:p>
      <w:pPr>
        <w:numPr>
          <w:ilvl w:val="0"/>
          <w:numId w:val="1"/>
        </w:numPr>
        <w:ind w:firstLine="420" w:firstLineChars="150"/>
        <w:rPr>
          <w:rFonts w:hint="default" w:cs="宋体"/>
          <w:sz w:val="28"/>
          <w:szCs w:val="28"/>
        </w:rPr>
      </w:pPr>
      <w:r>
        <w:rPr>
          <w:rFonts w:cs="仿宋_GB2312"/>
          <w:sz w:val="28"/>
          <w:szCs w:val="28"/>
        </w:rPr>
        <w:t>与交警部门配合，将市交警部门通报的被纳入失信惩戒的</w:t>
      </w:r>
      <w:r>
        <w:rPr>
          <w:rFonts w:hint="default" w:cs="仿宋_GB2312"/>
          <w:sz w:val="28"/>
          <w:szCs w:val="28"/>
        </w:rPr>
        <w:t>45部运输车辆，永久不予办理运输单；将市交警部门通报的被纳入失信惩戒的16名驾驶员，通报各建筑垃圾运输企业，要求各企业永久不得聘请。</w:t>
      </w:r>
    </w:p>
    <w:p>
      <w:pPr>
        <w:numPr>
          <w:ilvl w:val="0"/>
          <w:numId w:val="1"/>
        </w:numPr>
        <w:ind w:firstLine="420" w:firstLineChars="150"/>
        <w:rPr>
          <w:rFonts w:hint="default" w:cs="宋体"/>
          <w:sz w:val="28"/>
          <w:szCs w:val="28"/>
        </w:rPr>
      </w:pPr>
      <w:r>
        <w:rPr>
          <w:rFonts w:cs="仿宋_GB2312"/>
          <w:sz w:val="28"/>
          <w:szCs w:val="28"/>
        </w:rPr>
        <w:t>累计统筹项目回填消纳场</w:t>
      </w:r>
      <w:r>
        <w:rPr>
          <w:rFonts w:hint="default" w:cs="仿宋_GB2312"/>
          <w:sz w:val="28"/>
          <w:szCs w:val="28"/>
        </w:rPr>
        <w:t>349个，已消纳约1131万方，主要消纳区域为仓山区、晋安区、长乐区、福清市、连江县及闽侯县等。</w:t>
      </w:r>
    </w:p>
    <w:p>
      <w:pPr>
        <w:ind w:firstLine="560" w:firstLineChars="200"/>
        <w:rPr>
          <w:rFonts w:hint="default" w:cs="宋体"/>
          <w:sz w:val="28"/>
          <w:szCs w:val="28"/>
        </w:rPr>
      </w:pPr>
    </w:p>
    <w:p>
      <w:pPr>
        <w:rPr>
          <w:rFonts w:hint="default" w:cs="宋体"/>
          <w:sz w:val="32"/>
          <w:szCs w:val="32"/>
        </w:rPr>
      </w:pPr>
    </w:p>
    <w:p>
      <w:pPr>
        <w:pStyle w:val="2"/>
        <w:jc w:val="center"/>
        <w:rPr>
          <w:rFonts w:hint="default" w:cs="宋体"/>
        </w:rPr>
      </w:pPr>
      <w:bookmarkStart w:id="28" w:name="_Toc17190"/>
      <w:bookmarkEnd w:id="28"/>
    </w:p>
    <w:p>
      <w:pPr>
        <w:pStyle w:val="2"/>
        <w:numPr>
          <w:ilvl w:val="0"/>
          <w:numId w:val="2"/>
        </w:numPr>
        <w:jc w:val="center"/>
        <w:rPr>
          <w:rFonts w:hint="default" w:cs="宋体"/>
        </w:rPr>
      </w:pPr>
      <w:bookmarkStart w:id="29" w:name="_Toc29956"/>
      <w:bookmarkStart w:id="30" w:name="_Toc21159"/>
      <w:bookmarkStart w:id="31" w:name="_Toc5895"/>
      <w:bookmarkStart w:id="32" w:name="_Toc4165"/>
      <w:bookmarkStart w:id="33" w:name="_Toc15700"/>
      <w:bookmarkStart w:id="34" w:name="_Toc28199"/>
      <w:r>
        <w:rPr>
          <w:rFonts w:cs="宋体"/>
        </w:rPr>
        <w:t>202</w:t>
      </w:r>
      <w:r>
        <w:rPr>
          <w:rFonts w:hint="default" w:cs="宋体"/>
        </w:rPr>
        <w:t>1</w:t>
      </w:r>
      <w:r>
        <w:rPr>
          <w:rFonts w:cs="宋体"/>
        </w:rPr>
        <w:t>年度部门决算表</w:t>
      </w:r>
      <w:bookmarkEnd w:id="29"/>
      <w:bookmarkEnd w:id="30"/>
      <w:bookmarkEnd w:id="31"/>
      <w:bookmarkEnd w:id="32"/>
      <w:bookmarkEnd w:id="33"/>
      <w:bookmarkEnd w:id="34"/>
      <w:bookmarkStart w:id="35" w:name="_Toc276"/>
    </w:p>
    <w:p>
      <w:pPr>
        <w:jc w:val="center"/>
        <w:rPr>
          <w:rFonts w:hint="default"/>
        </w:rPr>
      </w:pPr>
      <w:r>
        <w:t>（部门决算公开表由部门决算网络版公开任务系统导出）</w:t>
      </w:r>
      <w:bookmarkEnd w:id="35"/>
    </w:p>
    <w:p>
      <w:pPr>
        <w:pStyle w:val="3"/>
        <w:rPr>
          <w:rFonts w:hint="default" w:cs="宋体"/>
        </w:rPr>
      </w:pPr>
      <w:bookmarkStart w:id="36" w:name="_Toc27263"/>
      <w:bookmarkEnd w:id="36"/>
      <w:bookmarkStart w:id="37" w:name="_Toc20918"/>
      <w:bookmarkStart w:id="38" w:name="_Toc21520"/>
      <w:bookmarkStart w:id="39" w:name="_Toc18897"/>
      <w:bookmarkStart w:id="40" w:name="_Toc7881"/>
      <w:bookmarkStart w:id="41" w:name="_Toc26562"/>
      <w:bookmarkStart w:id="42" w:name="_Toc14494"/>
      <w:r>
        <w:rPr>
          <w:rFonts w:cs="宋体"/>
        </w:rPr>
        <w:t>一、收入支出决算总表</w:t>
      </w:r>
      <w:bookmarkEnd w:id="37"/>
      <w:bookmarkEnd w:id="38"/>
      <w:bookmarkEnd w:id="39"/>
      <w:bookmarkEnd w:id="40"/>
      <w:bookmarkEnd w:id="41"/>
      <w:bookmarkEnd w:id="42"/>
      <w:r>
        <w:rPr>
          <w:rFonts w:cs="宋体"/>
        </w:rPr>
        <w:t xml:space="preserve"> </w:t>
      </w:r>
    </w:p>
    <w:tbl>
      <w:tblPr>
        <w:tblStyle w:val="16"/>
        <w:tblW w:w="9039" w:type="dxa"/>
        <w:tblInd w:w="-107" w:type="dxa"/>
        <w:tblLayout w:type="fixed"/>
        <w:tblCellMar>
          <w:top w:w="0" w:type="dxa"/>
          <w:left w:w="108" w:type="dxa"/>
          <w:bottom w:w="0" w:type="dxa"/>
          <w:right w:w="108" w:type="dxa"/>
        </w:tblCellMar>
      </w:tblPr>
      <w:tblGrid>
        <w:gridCol w:w="3525"/>
        <w:gridCol w:w="1035"/>
        <w:gridCol w:w="3344"/>
        <w:gridCol w:w="1135"/>
      </w:tblGrid>
      <w:tr>
        <w:tblPrEx>
          <w:tblCellMar>
            <w:top w:w="0" w:type="dxa"/>
            <w:left w:w="108" w:type="dxa"/>
            <w:bottom w:w="0" w:type="dxa"/>
            <w:right w:w="108" w:type="dxa"/>
          </w:tblCellMar>
        </w:tblPrEx>
        <w:trPr>
          <w:trHeight w:val="361" w:hRule="atLeast"/>
        </w:trPr>
        <w:tc>
          <w:tcPr>
            <w:tcW w:w="9039" w:type="dxa"/>
            <w:gridSpan w:val="4"/>
            <w:tcBorders>
              <w:top w:val="nil"/>
              <w:left w:val="nil"/>
              <w:bottom w:val="nil"/>
              <w:right w:val="nil"/>
            </w:tcBorders>
            <w:shd w:val="clear" w:color="auto" w:fill="auto"/>
            <w:noWrap/>
            <w:vAlign w:val="bottom"/>
          </w:tcPr>
          <w:p>
            <w:pPr>
              <w:spacing w:beforeAutospacing="1" w:afterAutospacing="1"/>
              <w:jc w:val="center"/>
              <w:rPr>
                <w:rFonts w:hint="default"/>
                <w:sz w:val="44"/>
                <w:szCs w:val="44"/>
              </w:rPr>
            </w:pPr>
            <w:r>
              <w:rPr>
                <w:rFonts w:cs="宋体"/>
                <w:color w:val="000000"/>
                <w:sz w:val="32"/>
                <w:szCs w:val="32"/>
              </w:rPr>
              <w:t>收支决算总表</w:t>
            </w:r>
          </w:p>
        </w:tc>
      </w:tr>
      <w:tr>
        <w:tblPrEx>
          <w:tblCellMar>
            <w:top w:w="0" w:type="dxa"/>
            <w:left w:w="108" w:type="dxa"/>
            <w:bottom w:w="0" w:type="dxa"/>
            <w:right w:w="108" w:type="dxa"/>
          </w:tblCellMar>
        </w:tblPrEx>
        <w:trPr>
          <w:trHeight w:val="90" w:hRule="atLeast"/>
        </w:trPr>
        <w:tc>
          <w:tcPr>
            <w:tcW w:w="3525" w:type="dxa"/>
            <w:tcBorders>
              <w:top w:val="nil"/>
              <w:left w:val="nil"/>
              <w:bottom w:val="nil"/>
              <w:right w:val="nil"/>
            </w:tcBorders>
            <w:shd w:val="clear" w:color="auto" w:fill="auto"/>
            <w:noWrap/>
            <w:vAlign w:val="bottom"/>
          </w:tcPr>
          <w:p>
            <w:pPr>
              <w:spacing w:beforeAutospacing="1" w:afterAutospacing="1"/>
              <w:rPr>
                <w:rFonts w:hint="default"/>
                <w:color w:val="000000"/>
                <w:sz w:val="22"/>
                <w:szCs w:val="22"/>
              </w:rPr>
            </w:pPr>
          </w:p>
        </w:tc>
        <w:tc>
          <w:tcPr>
            <w:tcW w:w="1035" w:type="dxa"/>
            <w:tcBorders>
              <w:top w:val="nil"/>
              <w:left w:val="nil"/>
              <w:bottom w:val="nil"/>
              <w:right w:val="nil"/>
            </w:tcBorders>
            <w:shd w:val="clear" w:color="auto" w:fill="auto"/>
            <w:noWrap/>
            <w:vAlign w:val="bottom"/>
          </w:tcPr>
          <w:p>
            <w:pPr>
              <w:spacing w:beforeAutospacing="1" w:afterAutospacing="1"/>
              <w:jc w:val="right"/>
              <w:rPr>
                <w:rFonts w:hint="default"/>
                <w:color w:val="000000"/>
                <w:sz w:val="20"/>
                <w:szCs w:val="20"/>
              </w:rPr>
            </w:pPr>
          </w:p>
        </w:tc>
        <w:tc>
          <w:tcPr>
            <w:tcW w:w="4479" w:type="dxa"/>
            <w:gridSpan w:val="2"/>
            <w:tcBorders>
              <w:top w:val="nil"/>
              <w:left w:val="nil"/>
              <w:bottom w:val="nil"/>
              <w:right w:val="nil"/>
            </w:tcBorders>
            <w:shd w:val="clear" w:color="auto" w:fill="auto"/>
            <w:noWrap/>
            <w:vAlign w:val="bottom"/>
          </w:tcPr>
          <w:p>
            <w:pPr>
              <w:spacing w:beforeAutospacing="1" w:afterAutospacing="1"/>
              <w:jc w:val="right"/>
              <w:rPr>
                <w:rFonts w:hint="default"/>
                <w:sz w:val="20"/>
                <w:szCs w:val="20"/>
              </w:rPr>
            </w:pPr>
            <w:r>
              <w:rPr>
                <w:rFonts w:cs="宋体"/>
                <w:sz w:val="20"/>
                <w:szCs w:val="20"/>
              </w:rPr>
              <w:t>公开01表</w:t>
            </w:r>
          </w:p>
        </w:tc>
      </w:tr>
      <w:tr>
        <w:tblPrEx>
          <w:tblCellMar>
            <w:top w:w="0" w:type="dxa"/>
            <w:left w:w="108" w:type="dxa"/>
            <w:bottom w:w="0" w:type="dxa"/>
            <w:right w:w="108" w:type="dxa"/>
          </w:tblCellMar>
        </w:tblPrEx>
        <w:trPr>
          <w:trHeight w:val="300" w:hRule="atLeast"/>
        </w:trPr>
        <w:tc>
          <w:tcPr>
            <w:tcW w:w="4560" w:type="dxa"/>
            <w:gridSpan w:val="2"/>
            <w:tcBorders>
              <w:top w:val="nil"/>
              <w:left w:val="nil"/>
              <w:bottom w:val="nil"/>
              <w:right w:val="nil"/>
            </w:tcBorders>
            <w:shd w:val="clear" w:color="auto" w:fill="auto"/>
            <w:noWrap/>
            <w:vAlign w:val="center"/>
          </w:tcPr>
          <w:p>
            <w:pPr>
              <w:rPr>
                <w:rFonts w:hint="default"/>
              </w:rPr>
            </w:pPr>
            <w:r>
              <w:rPr>
                <w:rFonts w:cs="宋体"/>
                <w:color w:val="000000"/>
                <w:sz w:val="20"/>
                <w:szCs w:val="20"/>
              </w:rPr>
              <w:t xml:space="preserve">单位：福州市建筑垃圾工程渣土处置中心        </w:t>
            </w:r>
          </w:p>
        </w:tc>
        <w:tc>
          <w:tcPr>
            <w:tcW w:w="4479" w:type="dxa"/>
            <w:gridSpan w:val="2"/>
            <w:tcBorders>
              <w:top w:val="nil"/>
              <w:left w:val="nil"/>
              <w:bottom w:val="nil"/>
              <w:right w:val="nil"/>
            </w:tcBorders>
            <w:shd w:val="clear" w:color="auto" w:fill="auto"/>
            <w:noWrap/>
            <w:vAlign w:val="center"/>
          </w:tcPr>
          <w:p>
            <w:pPr>
              <w:spacing w:beforeAutospacing="1" w:afterAutospacing="1"/>
              <w:jc w:val="right"/>
              <w:rPr>
                <w:rFonts w:hint="default"/>
                <w:sz w:val="20"/>
                <w:szCs w:val="20"/>
              </w:rPr>
            </w:pPr>
            <w:r>
              <w:rPr>
                <w:rFonts w:cs="宋体"/>
                <w:color w:val="000000"/>
                <w:sz w:val="20"/>
                <w:szCs w:val="20"/>
              </w:rPr>
              <w:t>金额单位：万元</w:t>
            </w:r>
          </w:p>
        </w:tc>
      </w:tr>
      <w:tr>
        <w:tblPrEx>
          <w:tblCellMar>
            <w:top w:w="0" w:type="dxa"/>
            <w:left w:w="108" w:type="dxa"/>
            <w:bottom w:w="0" w:type="dxa"/>
            <w:right w:w="108" w:type="dxa"/>
          </w:tblCellMar>
        </w:tblPrEx>
        <w:trPr>
          <w:trHeight w:val="223" w:hRule="atLeast"/>
        </w:trPr>
        <w:tc>
          <w:tcPr>
            <w:tcW w:w="4560"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收入</w:t>
            </w:r>
          </w:p>
        </w:tc>
        <w:tc>
          <w:tcPr>
            <w:tcW w:w="4479" w:type="dxa"/>
            <w:gridSpan w:val="2"/>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支出</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决算数</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项目(按支出功能分类)</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决算数</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一、一般公共预算财政拨款收入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697.00</w:t>
            </w:r>
            <w:r>
              <w:rPr>
                <w:rFonts w:cs="宋体"/>
                <w:color w:val="000000"/>
                <w:sz w:val="20"/>
                <w:szCs w:val="20"/>
              </w:rPr>
              <w:t>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一、一般公共服务支出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二、政府性基金预算财政拨款收入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二、外交支出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三、国有资本经营预算财政拨款收入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三、国防支出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四、上级补助收入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四、公共安全支出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五、事业收入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五、教育支出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六、经营收入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六、科学技术支出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七、附属单位上缴收入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七、文化旅游体育与传媒支出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w:t>
            </w:r>
            <w:r>
              <w:rPr>
                <w:rFonts w:cs="宋体"/>
                <w:sz w:val="20"/>
                <w:szCs w:val="20"/>
              </w:rPr>
              <w:t>、其他收入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0.2</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八、社会保障和就业支出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27.43</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九、卫生健康支出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十、节能环保支出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十一、城乡社区支出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723.71</w:t>
            </w:r>
            <w:r>
              <w:rPr>
                <w:rFonts w:cs="宋体"/>
                <w:color w:val="000000"/>
                <w:sz w:val="20"/>
                <w:szCs w:val="20"/>
              </w:rPr>
              <w:t>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十二、农林水支出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十三、交通运输支出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十四、资源勘探信息等支出</w:t>
            </w:r>
          </w:p>
        </w:tc>
        <w:tc>
          <w:tcPr>
            <w:tcW w:w="1135" w:type="dxa"/>
            <w:tcBorders>
              <w:top w:val="nil"/>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十五、商业服务业等支出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十六、金融支出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十七、援助其他地区支出</w:t>
            </w:r>
          </w:p>
        </w:tc>
        <w:tc>
          <w:tcPr>
            <w:tcW w:w="11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十八、自然资源海洋气象等支出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十九、住房保障支出</w:t>
            </w:r>
          </w:p>
        </w:tc>
        <w:tc>
          <w:tcPr>
            <w:tcW w:w="11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26.19</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二十、粮油物资储备支出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二十一、国有资本经营预算支出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二十二、灾害防治及应急管理支出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二十三、其他支出</w:t>
            </w:r>
          </w:p>
        </w:tc>
        <w:tc>
          <w:tcPr>
            <w:tcW w:w="1135"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二十四、债务还本支出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二十五、债务付息支出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b/>
                <w:bCs/>
                <w:color w:val="000000"/>
                <w:sz w:val="20"/>
                <w:szCs w:val="20"/>
              </w:rPr>
            </w:pPr>
            <w:r>
              <w:rPr>
                <w:rFonts w:cs="宋体"/>
                <w:color w:val="000000"/>
                <w:sz w:val="20"/>
                <w:szCs w:val="20"/>
              </w:rPr>
              <w:t>二十六、抗疫特别国债安排的支出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本年收入合计</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697.20</w:t>
            </w:r>
            <w:r>
              <w:rPr>
                <w:rFonts w:cs="宋体"/>
                <w:color w:val="000000"/>
                <w:sz w:val="20"/>
                <w:szCs w:val="20"/>
              </w:rPr>
              <w:t>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本年支出合计</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777.33</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使用非财政拨款结余</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结余分配</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年初结转和结余</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80.13</w:t>
            </w:r>
            <w:r>
              <w:rPr>
                <w:rFonts w:cs="宋体"/>
                <w:color w:val="000000"/>
                <w:sz w:val="20"/>
                <w:szCs w:val="20"/>
              </w:rPr>
              <w:t>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年末结转和结余</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777.33</w:t>
            </w:r>
            <w:r>
              <w:rPr>
                <w:rFonts w:cs="宋体"/>
                <w:color w:val="000000"/>
                <w:sz w:val="20"/>
                <w:szCs w:val="20"/>
              </w:rPr>
              <w:t>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777.33</w:t>
            </w:r>
            <w:r>
              <w:rPr>
                <w:rFonts w:cs="宋体"/>
                <w:color w:val="000000"/>
                <w:sz w:val="20"/>
                <w:szCs w:val="20"/>
              </w:rPr>
              <w:t>　</w:t>
            </w:r>
          </w:p>
        </w:tc>
      </w:tr>
    </w:tbl>
    <w:p>
      <w:pPr>
        <w:pStyle w:val="22"/>
        <w:rPr>
          <w:rFonts w:hint="default" w:cs="宋体"/>
        </w:rPr>
      </w:pPr>
      <w:r>
        <w:rPr>
          <w:rFonts w:cs="宋体"/>
        </w:rPr>
        <w:t>注：1. 本表反映部门本年度的总收支和年末结转结余情况。</w:t>
      </w:r>
    </w:p>
    <w:p>
      <w:pPr>
        <w:pStyle w:val="22"/>
        <w:ind w:firstLine="480" w:firstLineChars="200"/>
        <w:rPr>
          <w:rFonts w:hint="default" w:cs="宋体"/>
        </w:rPr>
      </w:pPr>
      <w:r>
        <w:rPr>
          <w:rFonts w:cs="宋体"/>
        </w:rPr>
        <w:t>2. 本套报表金额单位转换时可能存在尾数误差。</w:t>
      </w:r>
    </w:p>
    <w:p>
      <w:pPr>
        <w:pStyle w:val="3"/>
        <w:rPr>
          <w:rFonts w:hint="default" w:cs="宋体"/>
        </w:rPr>
      </w:pPr>
      <w:bookmarkStart w:id="43" w:name="_Toc2242"/>
      <w:bookmarkEnd w:id="43"/>
      <w:bookmarkStart w:id="44" w:name="_Toc21256"/>
      <w:bookmarkStart w:id="45" w:name="_Toc29332"/>
      <w:bookmarkStart w:id="46" w:name="_Toc16194"/>
      <w:bookmarkStart w:id="47" w:name="_Toc30977"/>
      <w:bookmarkStart w:id="48" w:name="_Toc4252"/>
      <w:bookmarkStart w:id="49" w:name="_Toc11225"/>
      <w:r>
        <w:rPr>
          <w:rFonts w:cs="宋体"/>
        </w:rPr>
        <w:t>二、收入决算表</w:t>
      </w:r>
      <w:bookmarkEnd w:id="44"/>
      <w:bookmarkEnd w:id="45"/>
      <w:bookmarkEnd w:id="46"/>
      <w:bookmarkEnd w:id="47"/>
      <w:bookmarkEnd w:id="48"/>
      <w:bookmarkEnd w:id="49"/>
      <w:r>
        <w:rPr>
          <w:rFonts w:cs="宋体"/>
        </w:rPr>
        <w:t xml:space="preserve"> </w:t>
      </w:r>
    </w:p>
    <w:tbl>
      <w:tblPr>
        <w:tblStyle w:val="16"/>
        <w:tblW w:w="10244" w:type="dxa"/>
        <w:tblInd w:w="-811" w:type="dxa"/>
        <w:tblLayout w:type="fixed"/>
        <w:tblCellMar>
          <w:top w:w="0" w:type="dxa"/>
          <w:left w:w="108" w:type="dxa"/>
          <w:bottom w:w="0" w:type="dxa"/>
          <w:right w:w="108" w:type="dxa"/>
        </w:tblCellMar>
      </w:tblPr>
      <w:tblGrid>
        <w:gridCol w:w="374"/>
        <w:gridCol w:w="405"/>
        <w:gridCol w:w="360"/>
        <w:gridCol w:w="1935"/>
        <w:gridCol w:w="901"/>
        <w:gridCol w:w="1064"/>
        <w:gridCol w:w="1095"/>
        <w:gridCol w:w="1005"/>
        <w:gridCol w:w="690"/>
        <w:gridCol w:w="315"/>
        <w:gridCol w:w="662"/>
        <w:gridCol w:w="1438"/>
      </w:tblGrid>
      <w:tr>
        <w:tblPrEx>
          <w:tblCellMar>
            <w:top w:w="0" w:type="dxa"/>
            <w:left w:w="108" w:type="dxa"/>
            <w:bottom w:w="0" w:type="dxa"/>
            <w:right w:w="108" w:type="dxa"/>
          </w:tblCellMar>
        </w:tblPrEx>
        <w:trPr>
          <w:trHeight w:val="556" w:hRule="atLeast"/>
        </w:trPr>
        <w:tc>
          <w:tcPr>
            <w:tcW w:w="10244" w:type="dxa"/>
            <w:gridSpan w:val="12"/>
            <w:tcBorders>
              <w:top w:val="nil"/>
              <w:left w:val="nil"/>
              <w:bottom w:val="nil"/>
              <w:right w:val="nil"/>
            </w:tcBorders>
            <w:shd w:val="clear" w:color="auto" w:fill="auto"/>
            <w:noWrap/>
            <w:vAlign w:val="center"/>
          </w:tcPr>
          <w:p>
            <w:pPr>
              <w:jc w:val="center"/>
              <w:rPr>
                <w:rFonts w:hint="default"/>
                <w:sz w:val="18"/>
                <w:szCs w:val="18"/>
              </w:rPr>
            </w:pPr>
            <w:r>
              <w:rPr>
                <w:rFonts w:cs="宋体"/>
                <w:sz w:val="32"/>
                <w:szCs w:val="32"/>
              </w:rPr>
              <w:t>收入决算表</w:t>
            </w:r>
          </w:p>
        </w:tc>
      </w:tr>
      <w:tr>
        <w:tblPrEx>
          <w:tblCellMar>
            <w:top w:w="0" w:type="dxa"/>
            <w:left w:w="108" w:type="dxa"/>
            <w:bottom w:w="0" w:type="dxa"/>
            <w:right w:w="108" w:type="dxa"/>
          </w:tblCellMar>
        </w:tblPrEx>
        <w:trPr>
          <w:trHeight w:val="341" w:hRule="atLeast"/>
        </w:trPr>
        <w:tc>
          <w:tcPr>
            <w:tcW w:w="374" w:type="dxa"/>
            <w:tcBorders>
              <w:top w:val="nil"/>
              <w:left w:val="nil"/>
              <w:bottom w:val="nil"/>
              <w:right w:val="nil"/>
            </w:tcBorders>
            <w:shd w:val="clear" w:color="auto" w:fill="auto"/>
            <w:noWrap/>
            <w:vAlign w:val="center"/>
          </w:tcPr>
          <w:p>
            <w:pPr>
              <w:rPr>
                <w:rFonts w:hint="default"/>
                <w:sz w:val="16"/>
                <w:szCs w:val="16"/>
              </w:rPr>
            </w:pPr>
          </w:p>
        </w:tc>
        <w:tc>
          <w:tcPr>
            <w:tcW w:w="405" w:type="dxa"/>
            <w:tcBorders>
              <w:top w:val="nil"/>
              <w:left w:val="nil"/>
              <w:bottom w:val="nil"/>
              <w:right w:val="nil"/>
            </w:tcBorders>
            <w:shd w:val="clear" w:color="auto" w:fill="auto"/>
            <w:noWrap/>
            <w:vAlign w:val="center"/>
          </w:tcPr>
          <w:p>
            <w:pPr>
              <w:rPr>
                <w:rFonts w:hint="default"/>
                <w:sz w:val="18"/>
                <w:szCs w:val="18"/>
              </w:rPr>
            </w:pPr>
          </w:p>
        </w:tc>
        <w:tc>
          <w:tcPr>
            <w:tcW w:w="360" w:type="dxa"/>
            <w:tcBorders>
              <w:top w:val="nil"/>
              <w:left w:val="nil"/>
              <w:bottom w:val="nil"/>
              <w:right w:val="nil"/>
            </w:tcBorders>
            <w:shd w:val="clear" w:color="auto" w:fill="auto"/>
            <w:noWrap/>
            <w:vAlign w:val="center"/>
          </w:tcPr>
          <w:p>
            <w:pPr>
              <w:rPr>
                <w:rFonts w:hint="default"/>
                <w:sz w:val="18"/>
                <w:szCs w:val="18"/>
              </w:rPr>
            </w:pPr>
          </w:p>
        </w:tc>
        <w:tc>
          <w:tcPr>
            <w:tcW w:w="1935" w:type="dxa"/>
            <w:tcBorders>
              <w:top w:val="nil"/>
              <w:left w:val="nil"/>
              <w:bottom w:val="nil"/>
              <w:right w:val="nil"/>
            </w:tcBorders>
            <w:shd w:val="clear" w:color="auto" w:fill="auto"/>
            <w:noWrap/>
            <w:vAlign w:val="center"/>
          </w:tcPr>
          <w:p>
            <w:pPr>
              <w:rPr>
                <w:rFonts w:hint="default"/>
                <w:sz w:val="18"/>
                <w:szCs w:val="18"/>
              </w:rPr>
            </w:pPr>
          </w:p>
        </w:tc>
        <w:tc>
          <w:tcPr>
            <w:tcW w:w="901" w:type="dxa"/>
            <w:tcBorders>
              <w:top w:val="nil"/>
              <w:left w:val="nil"/>
              <w:bottom w:val="nil"/>
              <w:right w:val="nil"/>
            </w:tcBorders>
            <w:shd w:val="clear" w:color="auto" w:fill="auto"/>
            <w:noWrap/>
            <w:vAlign w:val="center"/>
          </w:tcPr>
          <w:p>
            <w:pPr>
              <w:rPr>
                <w:rFonts w:hint="default"/>
                <w:sz w:val="18"/>
                <w:szCs w:val="18"/>
              </w:rPr>
            </w:pPr>
          </w:p>
        </w:tc>
        <w:tc>
          <w:tcPr>
            <w:tcW w:w="1064" w:type="dxa"/>
            <w:tcBorders>
              <w:top w:val="nil"/>
              <w:left w:val="nil"/>
              <w:bottom w:val="nil"/>
              <w:right w:val="nil"/>
            </w:tcBorders>
            <w:shd w:val="clear" w:color="auto" w:fill="auto"/>
            <w:noWrap/>
            <w:vAlign w:val="center"/>
          </w:tcPr>
          <w:p>
            <w:pPr>
              <w:rPr>
                <w:rFonts w:hint="default"/>
                <w:sz w:val="18"/>
                <w:szCs w:val="18"/>
              </w:rPr>
            </w:pPr>
          </w:p>
        </w:tc>
        <w:tc>
          <w:tcPr>
            <w:tcW w:w="1095" w:type="dxa"/>
            <w:tcBorders>
              <w:top w:val="nil"/>
              <w:left w:val="nil"/>
              <w:bottom w:val="nil"/>
              <w:right w:val="nil"/>
            </w:tcBorders>
            <w:shd w:val="clear" w:color="auto" w:fill="auto"/>
            <w:noWrap/>
            <w:vAlign w:val="center"/>
          </w:tcPr>
          <w:p>
            <w:pPr>
              <w:rPr>
                <w:rFonts w:hint="default"/>
                <w:sz w:val="18"/>
                <w:szCs w:val="18"/>
              </w:rPr>
            </w:pPr>
          </w:p>
        </w:tc>
        <w:tc>
          <w:tcPr>
            <w:tcW w:w="1005" w:type="dxa"/>
            <w:tcBorders>
              <w:top w:val="nil"/>
              <w:left w:val="nil"/>
              <w:bottom w:val="nil"/>
              <w:right w:val="nil"/>
            </w:tcBorders>
            <w:shd w:val="clear" w:color="auto" w:fill="auto"/>
            <w:noWrap/>
            <w:vAlign w:val="center"/>
          </w:tcPr>
          <w:p>
            <w:pPr>
              <w:rPr>
                <w:rFonts w:hint="default"/>
                <w:sz w:val="18"/>
                <w:szCs w:val="18"/>
              </w:rPr>
            </w:pPr>
          </w:p>
        </w:tc>
        <w:tc>
          <w:tcPr>
            <w:tcW w:w="1005" w:type="dxa"/>
            <w:gridSpan w:val="2"/>
            <w:tcBorders>
              <w:top w:val="nil"/>
              <w:left w:val="nil"/>
              <w:bottom w:val="nil"/>
              <w:right w:val="nil"/>
            </w:tcBorders>
            <w:shd w:val="clear" w:color="auto" w:fill="auto"/>
            <w:noWrap/>
            <w:vAlign w:val="center"/>
          </w:tcPr>
          <w:p>
            <w:pPr>
              <w:rPr>
                <w:rFonts w:hint="default"/>
                <w:sz w:val="18"/>
                <w:szCs w:val="18"/>
              </w:rPr>
            </w:pPr>
          </w:p>
        </w:tc>
        <w:tc>
          <w:tcPr>
            <w:tcW w:w="2100" w:type="dxa"/>
            <w:gridSpan w:val="2"/>
            <w:tcBorders>
              <w:top w:val="nil"/>
              <w:left w:val="nil"/>
              <w:bottom w:val="nil"/>
              <w:right w:val="nil"/>
            </w:tcBorders>
            <w:shd w:val="clear" w:color="auto" w:fill="auto"/>
            <w:noWrap/>
            <w:vAlign w:val="center"/>
          </w:tcPr>
          <w:p>
            <w:pPr>
              <w:jc w:val="right"/>
              <w:textAlignment w:val="center"/>
              <w:rPr>
                <w:rFonts w:hint="default"/>
                <w:sz w:val="20"/>
                <w:szCs w:val="20"/>
              </w:rPr>
            </w:pPr>
            <w:r>
              <w:rPr>
                <w:rFonts w:cs="宋体"/>
                <w:sz w:val="20"/>
                <w:szCs w:val="20"/>
              </w:rPr>
              <w:t>公开02表</w:t>
            </w:r>
          </w:p>
        </w:tc>
      </w:tr>
      <w:tr>
        <w:tblPrEx>
          <w:tblCellMar>
            <w:top w:w="0" w:type="dxa"/>
            <w:left w:w="108" w:type="dxa"/>
            <w:bottom w:w="0" w:type="dxa"/>
            <w:right w:w="108" w:type="dxa"/>
          </w:tblCellMar>
        </w:tblPrEx>
        <w:trPr>
          <w:trHeight w:val="406" w:hRule="atLeast"/>
        </w:trPr>
        <w:tc>
          <w:tcPr>
            <w:tcW w:w="3975" w:type="dxa"/>
            <w:gridSpan w:val="5"/>
            <w:tcBorders>
              <w:top w:val="nil"/>
              <w:left w:val="nil"/>
              <w:bottom w:val="single" w:color="000000" w:sz="8" w:space="0"/>
              <w:right w:val="nil"/>
            </w:tcBorders>
            <w:shd w:val="clear" w:color="auto" w:fill="auto"/>
            <w:noWrap/>
            <w:vAlign w:val="center"/>
          </w:tcPr>
          <w:p>
            <w:pPr>
              <w:rPr>
                <w:rFonts w:hint="default"/>
                <w:sz w:val="18"/>
                <w:szCs w:val="18"/>
              </w:rPr>
            </w:pPr>
            <w:r>
              <w:rPr>
                <w:rFonts w:cs="宋体"/>
                <w:sz w:val="20"/>
                <w:szCs w:val="20"/>
              </w:rPr>
              <w:t>单位：福州市建筑垃圾工程渣土处置中心</w:t>
            </w:r>
          </w:p>
        </w:tc>
        <w:tc>
          <w:tcPr>
            <w:tcW w:w="2159" w:type="dxa"/>
            <w:gridSpan w:val="2"/>
            <w:tcBorders>
              <w:top w:val="nil"/>
              <w:left w:val="nil"/>
              <w:bottom w:val="single" w:color="000000" w:sz="8" w:space="0"/>
              <w:right w:val="nil"/>
            </w:tcBorders>
            <w:shd w:val="clear" w:color="auto" w:fill="auto"/>
            <w:noWrap/>
            <w:vAlign w:val="center"/>
          </w:tcPr>
          <w:p>
            <w:pPr>
              <w:rPr>
                <w:rFonts w:hint="default"/>
                <w:sz w:val="15"/>
                <w:szCs w:val="15"/>
              </w:rPr>
            </w:pPr>
          </w:p>
        </w:tc>
        <w:tc>
          <w:tcPr>
            <w:tcW w:w="1005" w:type="dxa"/>
            <w:tcBorders>
              <w:top w:val="nil"/>
              <w:left w:val="nil"/>
              <w:bottom w:val="single" w:color="000000" w:sz="8" w:space="0"/>
              <w:right w:val="nil"/>
            </w:tcBorders>
            <w:shd w:val="clear" w:color="auto" w:fill="auto"/>
            <w:noWrap/>
            <w:vAlign w:val="center"/>
          </w:tcPr>
          <w:p>
            <w:pPr>
              <w:jc w:val="center"/>
              <w:rPr>
                <w:rFonts w:hint="default"/>
                <w:sz w:val="15"/>
                <w:szCs w:val="15"/>
              </w:rPr>
            </w:pPr>
          </w:p>
        </w:tc>
        <w:tc>
          <w:tcPr>
            <w:tcW w:w="1005" w:type="dxa"/>
            <w:gridSpan w:val="2"/>
            <w:tcBorders>
              <w:top w:val="nil"/>
              <w:left w:val="nil"/>
              <w:bottom w:val="single" w:color="000000" w:sz="8" w:space="0"/>
              <w:right w:val="nil"/>
            </w:tcBorders>
            <w:shd w:val="clear" w:color="auto" w:fill="auto"/>
            <w:noWrap/>
            <w:vAlign w:val="center"/>
          </w:tcPr>
          <w:p>
            <w:pPr>
              <w:jc w:val="center"/>
              <w:rPr>
                <w:rFonts w:hint="default"/>
                <w:sz w:val="15"/>
                <w:szCs w:val="15"/>
              </w:rPr>
            </w:pPr>
          </w:p>
        </w:tc>
        <w:tc>
          <w:tcPr>
            <w:tcW w:w="2100" w:type="dxa"/>
            <w:gridSpan w:val="2"/>
            <w:tcBorders>
              <w:top w:val="nil"/>
              <w:left w:val="nil"/>
              <w:bottom w:val="single" w:color="000000" w:sz="8" w:space="0"/>
              <w:right w:val="nil"/>
            </w:tcBorders>
            <w:shd w:val="clear" w:color="auto" w:fill="auto"/>
            <w:noWrap/>
            <w:vAlign w:val="center"/>
          </w:tcPr>
          <w:p>
            <w:pPr>
              <w:jc w:val="right"/>
              <w:textAlignment w:val="center"/>
              <w:rPr>
                <w:rFonts w:hint="default"/>
                <w:sz w:val="21"/>
                <w:szCs w:val="21"/>
              </w:rPr>
            </w:pPr>
            <w:r>
              <w:rPr>
                <w:rFonts w:cs="宋体"/>
                <w:sz w:val="20"/>
                <w:szCs w:val="20"/>
              </w:rPr>
              <w:t>金额单位：万元</w:t>
            </w:r>
          </w:p>
        </w:tc>
      </w:tr>
      <w:tr>
        <w:tblPrEx>
          <w:tblCellMar>
            <w:top w:w="0" w:type="dxa"/>
            <w:left w:w="108" w:type="dxa"/>
            <w:bottom w:w="0" w:type="dxa"/>
            <w:right w:w="108" w:type="dxa"/>
          </w:tblCellMar>
        </w:tblPrEx>
        <w:trPr>
          <w:trHeight w:val="756" w:hRule="atLeast"/>
        </w:trPr>
        <w:tc>
          <w:tcPr>
            <w:tcW w:w="3074"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项目</w:t>
            </w:r>
          </w:p>
        </w:tc>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本年收入合计</w:t>
            </w:r>
          </w:p>
        </w:tc>
        <w:tc>
          <w:tcPr>
            <w:tcW w:w="10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财政拨款收入</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上级补助收入</w:t>
            </w:r>
          </w:p>
        </w:tc>
        <w:tc>
          <w:tcPr>
            <w:tcW w:w="10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color w:val="000000"/>
                <w:sz w:val="20"/>
                <w:szCs w:val="20"/>
              </w:rPr>
              <w:t>事业收入</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经营收入</w:t>
            </w:r>
          </w:p>
        </w:tc>
        <w:tc>
          <w:tcPr>
            <w:tcW w:w="97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附属单位上缴收入</w:t>
            </w:r>
          </w:p>
        </w:tc>
        <w:tc>
          <w:tcPr>
            <w:tcW w:w="14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其他收入</w:t>
            </w:r>
          </w:p>
        </w:tc>
      </w:tr>
      <w:tr>
        <w:tblPrEx>
          <w:tblCellMar>
            <w:top w:w="0" w:type="dxa"/>
            <w:left w:w="108" w:type="dxa"/>
            <w:bottom w:w="0" w:type="dxa"/>
            <w:right w:w="108" w:type="dxa"/>
          </w:tblCellMar>
        </w:tblPrEx>
        <w:trPr>
          <w:trHeight w:val="312"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支出功能分类科目编码</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科目名称</w:t>
            </w:r>
          </w:p>
        </w:tc>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c>
          <w:tcPr>
            <w:tcW w:w="10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c>
          <w:tcPr>
            <w:tcW w:w="10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c>
          <w:tcPr>
            <w:tcW w:w="97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c>
          <w:tcPr>
            <w:tcW w:w="14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0" w:hRule="atLeast"/>
        </w:trPr>
        <w:tc>
          <w:tcPr>
            <w:tcW w:w="37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类</w:t>
            </w:r>
          </w:p>
        </w:tc>
        <w:tc>
          <w:tcPr>
            <w:tcW w:w="40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款</w:t>
            </w:r>
          </w:p>
        </w:tc>
        <w:tc>
          <w:tcPr>
            <w:tcW w:w="36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项</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栏次</w:t>
            </w:r>
          </w:p>
        </w:tc>
        <w:tc>
          <w:tcPr>
            <w:tcW w:w="9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1</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2</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3</w:t>
            </w: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sz w:val="20"/>
              </w:rPr>
              <w:t>4</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5</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6</w:t>
            </w:r>
          </w:p>
        </w:tc>
        <w:tc>
          <w:tcPr>
            <w:tcW w:w="143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7</w:t>
            </w:r>
          </w:p>
        </w:tc>
      </w:tr>
      <w:tr>
        <w:tblPrEx>
          <w:tblCellMar>
            <w:top w:w="0" w:type="dxa"/>
            <w:left w:w="108" w:type="dxa"/>
            <w:bottom w:w="0" w:type="dxa"/>
            <w:right w:w="108" w:type="dxa"/>
          </w:tblCellMar>
        </w:tblPrEx>
        <w:trPr>
          <w:trHeight w:val="310" w:hRule="atLeast"/>
        </w:trPr>
        <w:tc>
          <w:tcPr>
            <w:tcW w:w="37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sz w:val="20"/>
                <w:szCs w:val="20"/>
              </w:rPr>
            </w:pPr>
          </w:p>
        </w:tc>
        <w:tc>
          <w:tcPr>
            <w:tcW w:w="40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sz w:val="20"/>
                <w:szCs w:val="20"/>
              </w:rPr>
            </w:pPr>
          </w:p>
        </w:tc>
        <w:tc>
          <w:tcPr>
            <w:tcW w:w="36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sz w:val="20"/>
                <w:szCs w:val="20"/>
              </w:rPr>
            </w:pP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合计</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b/>
                <w:bCs/>
                <w:color w:val="000000"/>
                <w:sz w:val="20"/>
                <w:szCs w:val="20"/>
              </w:rPr>
              <w:t>697.20</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b/>
                <w:bCs/>
                <w:color w:val="000000"/>
                <w:sz w:val="20"/>
                <w:szCs w:val="20"/>
              </w:rPr>
              <w:t>697.00</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0.20</w:t>
            </w:r>
          </w:p>
        </w:tc>
      </w:tr>
      <w:tr>
        <w:tblPrEx>
          <w:tblCellMar>
            <w:top w:w="0" w:type="dxa"/>
            <w:left w:w="108" w:type="dxa"/>
            <w:bottom w:w="0" w:type="dxa"/>
            <w:right w:w="108" w:type="dxa"/>
          </w:tblCellMar>
        </w:tblPrEx>
        <w:trPr>
          <w:trHeight w:val="9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208</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社会保障和就业支出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23.35</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23.35</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20805</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行政事业单位养老支出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23.35</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23.35</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2080502</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事业单位离退休</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4.55</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4.55</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2080505</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机关事业单位基本养老保险缴费支出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11.71</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11.71</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2080506</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机关事业单位职业年金缴费支出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7.09</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7.09</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212</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城乡社区支出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650.52</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650.52</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0.20</w:t>
            </w:r>
          </w:p>
        </w:tc>
      </w:tr>
      <w:tr>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21205</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城乡社区环境卫生</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650.52</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650.52</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2120501</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城乡社区环境卫生</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650.52</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right="100"/>
              <w:jc w:val="right"/>
              <w:textAlignment w:val="center"/>
              <w:rPr>
                <w:rFonts w:hint="default"/>
                <w:color w:val="000000"/>
                <w:sz w:val="20"/>
                <w:szCs w:val="20"/>
              </w:rPr>
            </w:pPr>
            <w:r>
              <w:rPr>
                <w:rFonts w:hint="default" w:cs="宋体"/>
                <w:color w:val="000000"/>
                <w:sz w:val="20"/>
                <w:szCs w:val="20"/>
              </w:rPr>
              <w:t>650.52</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221</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住房保障支出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23.33</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22102</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住房改革支出</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hint="default" w:cs="宋体"/>
                <w:b/>
                <w:bCs/>
                <w:color w:val="000000"/>
                <w:sz w:val="20"/>
                <w:szCs w:val="20"/>
              </w:rPr>
              <w:t>23.33</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2210201</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住房公积金</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14.78</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14.78</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2210202</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提租补贴</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4.93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4.93</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40" w:hRule="atLeast"/>
        </w:trPr>
        <w:tc>
          <w:tcPr>
            <w:tcW w:w="113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2210203</w:t>
            </w:r>
          </w:p>
        </w:tc>
        <w:tc>
          <w:tcPr>
            <w:tcW w:w="19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购房补贴</w:t>
            </w:r>
          </w:p>
        </w:tc>
        <w:tc>
          <w:tcPr>
            <w:tcW w:w="9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3.72</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3.72</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4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bl>
    <w:p>
      <w:pPr>
        <w:pStyle w:val="22"/>
        <w:rPr>
          <w:rFonts w:hint="default" w:cs="宋体"/>
        </w:rPr>
      </w:pPr>
      <w:r>
        <w:rPr>
          <w:rFonts w:cs="宋体"/>
        </w:rPr>
        <w:t>注：本表反映单位本年度取得的各项收入情况。</w:t>
      </w:r>
    </w:p>
    <w:p>
      <w:pPr>
        <w:pStyle w:val="3"/>
        <w:rPr>
          <w:rFonts w:hint="default" w:cs="宋体"/>
        </w:rPr>
      </w:pPr>
      <w:bookmarkStart w:id="50" w:name="_Toc1797"/>
      <w:bookmarkEnd w:id="50"/>
    </w:p>
    <w:p>
      <w:pPr>
        <w:pStyle w:val="3"/>
        <w:rPr>
          <w:rFonts w:hint="default" w:cs="宋体"/>
        </w:rPr>
      </w:pPr>
    </w:p>
    <w:p>
      <w:pPr>
        <w:pStyle w:val="3"/>
        <w:rPr>
          <w:rFonts w:hint="default" w:cs="宋体"/>
        </w:rPr>
      </w:pPr>
      <w:bookmarkStart w:id="51" w:name="_Toc3469"/>
      <w:bookmarkStart w:id="52" w:name="_Toc2042"/>
      <w:bookmarkStart w:id="53" w:name="_Toc30255"/>
      <w:bookmarkStart w:id="54" w:name="_Toc9344"/>
      <w:bookmarkStart w:id="55" w:name="_Toc9178"/>
      <w:bookmarkStart w:id="56" w:name="_Toc31905"/>
      <w:r>
        <w:rPr>
          <w:rFonts w:cs="宋体"/>
        </w:rPr>
        <w:t>三、支出决算表</w:t>
      </w:r>
      <w:bookmarkEnd w:id="51"/>
      <w:bookmarkEnd w:id="52"/>
      <w:bookmarkEnd w:id="53"/>
      <w:bookmarkEnd w:id="54"/>
      <w:bookmarkEnd w:id="55"/>
      <w:bookmarkEnd w:id="56"/>
    </w:p>
    <w:tbl>
      <w:tblPr>
        <w:tblStyle w:val="16"/>
        <w:tblW w:w="9720" w:type="dxa"/>
        <w:tblInd w:w="-571" w:type="dxa"/>
        <w:tblLayout w:type="fixed"/>
        <w:tblCellMar>
          <w:top w:w="0" w:type="dxa"/>
          <w:left w:w="108" w:type="dxa"/>
          <w:bottom w:w="0" w:type="dxa"/>
          <w:right w:w="108" w:type="dxa"/>
        </w:tblCellMar>
      </w:tblPr>
      <w:tblGrid>
        <w:gridCol w:w="540"/>
        <w:gridCol w:w="495"/>
        <w:gridCol w:w="495"/>
        <w:gridCol w:w="2400"/>
        <w:gridCol w:w="915"/>
        <w:gridCol w:w="885"/>
        <w:gridCol w:w="960"/>
        <w:gridCol w:w="810"/>
        <w:gridCol w:w="960"/>
        <w:gridCol w:w="1260"/>
      </w:tblGrid>
      <w:tr>
        <w:tblPrEx>
          <w:tblCellMar>
            <w:top w:w="0" w:type="dxa"/>
            <w:left w:w="108" w:type="dxa"/>
            <w:bottom w:w="0" w:type="dxa"/>
            <w:right w:w="108" w:type="dxa"/>
          </w:tblCellMar>
        </w:tblPrEx>
        <w:trPr>
          <w:trHeight w:val="495" w:hRule="atLeast"/>
        </w:trPr>
        <w:tc>
          <w:tcPr>
            <w:tcW w:w="9720" w:type="dxa"/>
            <w:gridSpan w:val="10"/>
            <w:tcBorders>
              <w:top w:val="nil"/>
              <w:left w:val="nil"/>
              <w:bottom w:val="nil"/>
              <w:right w:val="nil"/>
            </w:tcBorders>
            <w:shd w:val="clear" w:color="auto" w:fill="auto"/>
            <w:noWrap/>
            <w:vAlign w:val="bottom"/>
          </w:tcPr>
          <w:p>
            <w:pPr>
              <w:spacing w:beforeAutospacing="1" w:afterAutospacing="1"/>
              <w:jc w:val="center"/>
              <w:rPr>
                <w:rFonts w:hint="default"/>
                <w:color w:val="000000"/>
                <w:sz w:val="44"/>
                <w:szCs w:val="44"/>
              </w:rPr>
            </w:pPr>
            <w:r>
              <w:rPr>
                <w:rFonts w:cs="宋体"/>
                <w:color w:val="000000"/>
                <w:sz w:val="32"/>
                <w:szCs w:val="32"/>
              </w:rPr>
              <w:t>支出决算表</w:t>
            </w:r>
          </w:p>
        </w:tc>
      </w:tr>
      <w:tr>
        <w:tblPrEx>
          <w:tblCellMar>
            <w:top w:w="0" w:type="dxa"/>
            <w:left w:w="108" w:type="dxa"/>
            <w:bottom w:w="0" w:type="dxa"/>
            <w:right w:w="108" w:type="dxa"/>
          </w:tblCellMar>
        </w:tblPrEx>
        <w:trPr>
          <w:trHeight w:val="300" w:hRule="atLeast"/>
        </w:trPr>
        <w:tc>
          <w:tcPr>
            <w:tcW w:w="9720" w:type="dxa"/>
            <w:gridSpan w:val="10"/>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公开03表</w:t>
            </w:r>
          </w:p>
        </w:tc>
      </w:tr>
      <w:tr>
        <w:tblPrEx>
          <w:tblCellMar>
            <w:top w:w="0" w:type="dxa"/>
            <w:left w:w="108" w:type="dxa"/>
            <w:bottom w:w="0" w:type="dxa"/>
            <w:right w:w="108" w:type="dxa"/>
          </w:tblCellMar>
        </w:tblPrEx>
        <w:trPr>
          <w:trHeight w:val="315" w:hRule="atLeast"/>
        </w:trPr>
        <w:tc>
          <w:tcPr>
            <w:tcW w:w="3930" w:type="dxa"/>
            <w:gridSpan w:val="4"/>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单位：福州市建筑垃圾工程渣土处置中心</w:t>
            </w:r>
          </w:p>
        </w:tc>
        <w:tc>
          <w:tcPr>
            <w:tcW w:w="915" w:type="dxa"/>
            <w:tcBorders>
              <w:top w:val="nil"/>
              <w:left w:val="nil"/>
              <w:bottom w:val="nil"/>
              <w:right w:val="nil"/>
            </w:tcBorders>
            <w:shd w:val="clear" w:color="auto" w:fill="auto"/>
            <w:noWrap/>
            <w:vAlign w:val="bottom"/>
          </w:tcPr>
          <w:p>
            <w:pPr>
              <w:rPr>
                <w:rFonts w:hint="default"/>
              </w:rPr>
            </w:pPr>
            <w:r>
              <w:rPr>
                <w:rFonts w:cs="宋体"/>
              </w:rPr>
              <w:t> </w:t>
            </w:r>
          </w:p>
        </w:tc>
        <w:tc>
          <w:tcPr>
            <w:tcW w:w="885" w:type="dxa"/>
            <w:tcBorders>
              <w:top w:val="nil"/>
              <w:left w:val="nil"/>
              <w:bottom w:val="nil"/>
              <w:right w:val="nil"/>
            </w:tcBorders>
            <w:shd w:val="clear" w:color="auto" w:fill="auto"/>
            <w:noWrap/>
            <w:vAlign w:val="bottom"/>
          </w:tcPr>
          <w:p>
            <w:pPr>
              <w:rPr>
                <w:rFonts w:hint="default"/>
              </w:rPr>
            </w:pPr>
            <w:r>
              <w:rPr>
                <w:rFonts w:cs="宋体"/>
              </w:rPr>
              <w:t> </w:t>
            </w:r>
          </w:p>
        </w:tc>
        <w:tc>
          <w:tcPr>
            <w:tcW w:w="960" w:type="dxa"/>
            <w:tcBorders>
              <w:top w:val="nil"/>
              <w:left w:val="nil"/>
              <w:bottom w:val="nil"/>
              <w:right w:val="nil"/>
            </w:tcBorders>
            <w:shd w:val="clear" w:color="auto" w:fill="auto"/>
            <w:noWrap/>
            <w:vAlign w:val="bottom"/>
          </w:tcPr>
          <w:p>
            <w:pPr>
              <w:rPr>
                <w:rFonts w:hint="default"/>
              </w:rPr>
            </w:pPr>
            <w:r>
              <w:rPr>
                <w:rFonts w:cs="宋体"/>
              </w:rPr>
              <w:t> </w:t>
            </w:r>
          </w:p>
        </w:tc>
        <w:tc>
          <w:tcPr>
            <w:tcW w:w="810" w:type="dxa"/>
            <w:tcBorders>
              <w:top w:val="nil"/>
              <w:left w:val="nil"/>
              <w:bottom w:val="single" w:color="auto" w:sz="4" w:space="0"/>
              <w:right w:val="nil"/>
            </w:tcBorders>
            <w:shd w:val="clear" w:color="auto" w:fill="auto"/>
            <w:noWrap/>
            <w:vAlign w:val="bottom"/>
          </w:tcPr>
          <w:p>
            <w:pPr>
              <w:rPr>
                <w:rFonts w:hint="default"/>
              </w:rPr>
            </w:pPr>
            <w:r>
              <w:rPr>
                <w:rFonts w:cs="宋体"/>
              </w:rPr>
              <w:t> </w:t>
            </w:r>
          </w:p>
        </w:tc>
        <w:tc>
          <w:tcPr>
            <w:tcW w:w="2220" w:type="dxa"/>
            <w:gridSpan w:val="2"/>
            <w:tcBorders>
              <w:top w:val="nil"/>
              <w:left w:val="nil"/>
              <w:bottom w:val="single" w:color="auto" w:sz="4" w:space="0"/>
              <w:right w:val="nil"/>
            </w:tcBorders>
            <w:shd w:val="clear" w:color="auto" w:fill="auto"/>
            <w:noWrap/>
            <w:vAlign w:val="bottom"/>
          </w:tcPr>
          <w:p>
            <w:pPr>
              <w:spacing w:beforeAutospacing="1" w:afterAutospacing="1"/>
              <w:rPr>
                <w:rFonts w:hint="default"/>
                <w:color w:val="000000"/>
                <w:sz w:val="20"/>
                <w:szCs w:val="20"/>
              </w:rPr>
            </w:pPr>
            <w:r>
              <w:rPr>
                <w:rFonts w:cs="宋体"/>
                <w:color w:val="000000"/>
              </w:rPr>
              <w:t xml:space="preserve">     </w:t>
            </w:r>
            <w:r>
              <w:rPr>
                <w:rFonts w:cs="宋体"/>
                <w:color w:val="000000"/>
                <w:sz w:val="20"/>
                <w:szCs w:val="20"/>
              </w:rPr>
              <w:t>金额单位：万元</w:t>
            </w:r>
          </w:p>
        </w:tc>
      </w:tr>
      <w:tr>
        <w:tblPrEx>
          <w:tblCellMar>
            <w:top w:w="0" w:type="dxa"/>
            <w:left w:w="108" w:type="dxa"/>
            <w:bottom w:w="0" w:type="dxa"/>
            <w:right w:w="108" w:type="dxa"/>
          </w:tblCellMar>
        </w:tblPrEx>
        <w:trPr>
          <w:trHeight w:val="308" w:hRule="atLeast"/>
        </w:trPr>
        <w:tc>
          <w:tcPr>
            <w:tcW w:w="3930"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91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本年支出合计</w:t>
            </w:r>
          </w:p>
        </w:tc>
        <w:tc>
          <w:tcPr>
            <w:tcW w:w="88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960" w:type="dxa"/>
            <w:vMerge w:val="restart"/>
            <w:tcBorders>
              <w:top w:val="single" w:color="000000" w:sz="8" w:space="0"/>
              <w:left w:val="nil"/>
              <w:bottom w:val="single" w:color="000000"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c>
          <w:tcPr>
            <w:tcW w:w="81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上缴上级支出</w:t>
            </w:r>
          </w:p>
        </w:tc>
        <w:tc>
          <w:tcPr>
            <w:tcW w:w="96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经营支出</w:t>
            </w:r>
          </w:p>
        </w:tc>
        <w:tc>
          <w:tcPr>
            <w:tcW w:w="1260" w:type="dxa"/>
            <w:vMerge w:val="restart"/>
            <w:tcBorders>
              <w:top w:val="single" w:color="auto" w:sz="4" w:space="0"/>
              <w:left w:val="nil"/>
              <w:bottom w:val="nil"/>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对附属单位补助支出</w:t>
            </w:r>
          </w:p>
        </w:tc>
      </w:tr>
      <w:tr>
        <w:tblPrEx>
          <w:tblCellMar>
            <w:top w:w="0" w:type="dxa"/>
            <w:left w:w="108" w:type="dxa"/>
            <w:bottom w:w="0" w:type="dxa"/>
            <w:right w:w="108" w:type="dxa"/>
          </w:tblCellMar>
        </w:tblPrEx>
        <w:trPr>
          <w:trHeight w:val="976" w:hRule="atLeast"/>
        </w:trPr>
        <w:tc>
          <w:tcPr>
            <w:tcW w:w="153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支出功能分类科目编码</w:t>
            </w:r>
          </w:p>
        </w:tc>
        <w:tc>
          <w:tcPr>
            <w:tcW w:w="240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91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960" w:type="dxa"/>
            <w:vMerge w:val="continue"/>
            <w:tcBorders>
              <w:top w:val="single" w:color="000000" w:sz="8" w:space="0"/>
              <w:left w:val="nil"/>
              <w:bottom w:val="single" w:color="000000" w:sz="4" w:space="0"/>
              <w:right w:val="single" w:color="auto" w:sz="4" w:space="0"/>
            </w:tcBorders>
            <w:shd w:val="clear" w:color="auto" w:fill="auto"/>
            <w:vAlign w:val="center"/>
          </w:tcPr>
          <w:p>
            <w:pPr>
              <w:rPr>
                <w:rFonts w:hint="default" w:ascii="Times New Roman" w:hAnsi="Times New Roman"/>
                <w:sz w:val="20"/>
                <w:szCs w:val="20"/>
              </w:rPr>
            </w:pPr>
          </w:p>
        </w:tc>
        <w:tc>
          <w:tcPr>
            <w:tcW w:w="81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96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single" w:color="auto" w:sz="4" w:space="0"/>
              <w:left w:val="nil"/>
              <w:bottom w:val="nil"/>
              <w:right w:val="single" w:color="auto"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类</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款</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合计</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777.33</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204.47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572.86</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社会保障和就业支出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行政事业单位养老支出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事业单位离退休</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4.55</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机关事业单位基本养老保险缴费支出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15.26</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15.26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2080506</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机关事业单位职业年金缴费支出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7.63</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7.63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723.71</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150.85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572.86</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城乡社区环境卫生</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723.71</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150.85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2120501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城乡社区环境卫生</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723.71</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150.85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住房保障支出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住房改革支出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住房公积金</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16.37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16.37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提租补贴</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5.27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5.27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2210203</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购房补贴</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4.54</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bl>
    <w:p>
      <w:pPr>
        <w:pStyle w:val="22"/>
        <w:rPr>
          <w:rFonts w:hint="default" w:cs="宋体"/>
        </w:rPr>
      </w:pPr>
      <w:r>
        <w:rPr>
          <w:rFonts w:cs="宋体"/>
        </w:rPr>
        <w:t>注：本表反映单位本年度各项支出情况。</w:t>
      </w:r>
    </w:p>
    <w:p>
      <w:pPr>
        <w:pStyle w:val="3"/>
        <w:rPr>
          <w:rFonts w:hint="default" w:cs="宋体"/>
        </w:rPr>
      </w:pPr>
      <w:bookmarkStart w:id="57" w:name="_Toc32590"/>
      <w:bookmarkEnd w:id="57"/>
      <w:bookmarkStart w:id="58" w:name="_Toc14963"/>
      <w:bookmarkStart w:id="59" w:name="_Toc12247"/>
      <w:bookmarkStart w:id="60" w:name="_Toc9059"/>
      <w:bookmarkStart w:id="61" w:name="_Toc9176"/>
      <w:bookmarkStart w:id="62" w:name="_Toc13721"/>
      <w:bookmarkStart w:id="63" w:name="_Toc21388"/>
      <w:r>
        <w:rPr>
          <w:rFonts w:cs="宋体"/>
        </w:rPr>
        <w:t>四、财政拨款收入支出决算总表</w:t>
      </w:r>
      <w:bookmarkEnd w:id="58"/>
      <w:bookmarkEnd w:id="59"/>
      <w:bookmarkEnd w:id="60"/>
      <w:bookmarkEnd w:id="61"/>
      <w:bookmarkEnd w:id="62"/>
      <w:bookmarkEnd w:id="63"/>
    </w:p>
    <w:tbl>
      <w:tblPr>
        <w:tblStyle w:val="16"/>
        <w:tblW w:w="9675" w:type="dxa"/>
        <w:tblInd w:w="-586" w:type="dxa"/>
        <w:tblLayout w:type="fixed"/>
        <w:tblCellMar>
          <w:top w:w="0" w:type="dxa"/>
          <w:left w:w="108" w:type="dxa"/>
          <w:bottom w:w="0" w:type="dxa"/>
          <w:right w:w="108" w:type="dxa"/>
        </w:tblCellMar>
      </w:tblPr>
      <w:tblGrid>
        <w:gridCol w:w="1800"/>
        <w:gridCol w:w="930"/>
        <w:gridCol w:w="385"/>
        <w:gridCol w:w="1716"/>
        <w:gridCol w:w="734"/>
        <w:gridCol w:w="90"/>
        <w:gridCol w:w="1050"/>
        <w:gridCol w:w="1106"/>
        <w:gridCol w:w="949"/>
        <w:gridCol w:w="915"/>
      </w:tblGrid>
      <w:tr>
        <w:tblPrEx>
          <w:tblCellMar>
            <w:top w:w="0" w:type="dxa"/>
            <w:left w:w="108" w:type="dxa"/>
            <w:bottom w:w="0" w:type="dxa"/>
            <w:right w:w="108" w:type="dxa"/>
          </w:tblCellMar>
        </w:tblPrEx>
        <w:trPr>
          <w:trHeight w:val="540" w:hRule="atLeast"/>
        </w:trPr>
        <w:tc>
          <w:tcPr>
            <w:tcW w:w="9675" w:type="dxa"/>
            <w:gridSpan w:val="10"/>
            <w:tcBorders>
              <w:top w:val="nil"/>
              <w:left w:val="nil"/>
              <w:bottom w:val="nil"/>
              <w:right w:val="nil"/>
            </w:tcBorders>
            <w:shd w:val="clear" w:color="auto" w:fill="auto"/>
            <w:noWrap/>
            <w:vAlign w:val="bottom"/>
          </w:tcPr>
          <w:p>
            <w:pPr>
              <w:spacing w:beforeAutospacing="1" w:afterAutospacing="1"/>
              <w:jc w:val="center"/>
              <w:rPr>
                <w:rFonts w:hint="default"/>
                <w:color w:val="000000"/>
                <w:sz w:val="36"/>
                <w:szCs w:val="36"/>
              </w:rPr>
            </w:pPr>
            <w:r>
              <w:rPr>
                <w:rFonts w:cs="宋体"/>
                <w:color w:val="000000"/>
                <w:sz w:val="32"/>
                <w:szCs w:val="32"/>
              </w:rPr>
              <w:t>财政拨款收入支出决算总表</w:t>
            </w:r>
          </w:p>
        </w:tc>
      </w:tr>
      <w:tr>
        <w:tblPrEx>
          <w:tblCellMar>
            <w:top w:w="0" w:type="dxa"/>
            <w:left w:w="108" w:type="dxa"/>
            <w:bottom w:w="0" w:type="dxa"/>
            <w:right w:w="108" w:type="dxa"/>
          </w:tblCellMar>
        </w:tblPrEx>
        <w:trPr>
          <w:trHeight w:val="255" w:hRule="atLeast"/>
        </w:trPr>
        <w:tc>
          <w:tcPr>
            <w:tcW w:w="3115" w:type="dxa"/>
            <w:gridSpan w:val="3"/>
            <w:tcBorders>
              <w:top w:val="nil"/>
              <w:left w:val="nil"/>
              <w:bottom w:val="nil"/>
              <w:right w:val="nil"/>
            </w:tcBorders>
            <w:shd w:val="clear" w:color="auto" w:fill="auto"/>
            <w:noWrap/>
            <w:vAlign w:val="bottom"/>
          </w:tcPr>
          <w:p>
            <w:pPr>
              <w:rPr>
                <w:rFonts w:hint="default"/>
              </w:rPr>
            </w:pPr>
            <w:r>
              <w:rPr>
                <w:rFonts w:cs="宋体"/>
              </w:rPr>
              <w:t> </w:t>
            </w:r>
          </w:p>
        </w:tc>
        <w:tc>
          <w:tcPr>
            <w:tcW w:w="2450" w:type="dxa"/>
            <w:gridSpan w:val="2"/>
            <w:tcBorders>
              <w:top w:val="nil"/>
              <w:left w:val="nil"/>
              <w:bottom w:val="nil"/>
              <w:right w:val="nil"/>
            </w:tcBorders>
            <w:shd w:val="clear" w:color="auto" w:fill="auto"/>
            <w:vAlign w:val="bottom"/>
          </w:tcPr>
          <w:p>
            <w:pPr>
              <w:spacing w:beforeAutospacing="1" w:afterAutospacing="1"/>
              <w:ind w:right="206" w:rightChars="86"/>
              <w:jc w:val="right"/>
              <w:rPr>
                <w:rFonts w:hint="default"/>
                <w:color w:val="000000"/>
                <w:sz w:val="20"/>
                <w:szCs w:val="20"/>
              </w:rPr>
            </w:pPr>
          </w:p>
        </w:tc>
        <w:tc>
          <w:tcPr>
            <w:tcW w:w="4110" w:type="dxa"/>
            <w:gridSpan w:val="5"/>
            <w:tcBorders>
              <w:top w:val="nil"/>
              <w:left w:val="nil"/>
              <w:bottom w:val="nil"/>
              <w:right w:val="nil"/>
            </w:tcBorders>
            <w:shd w:val="clear" w:color="auto" w:fill="auto"/>
            <w:vAlign w:val="bottom"/>
          </w:tcPr>
          <w:p>
            <w:pPr>
              <w:spacing w:beforeAutospacing="1" w:afterAutospacing="1"/>
              <w:ind w:right="206" w:rightChars="86"/>
              <w:jc w:val="right"/>
              <w:rPr>
                <w:rFonts w:hint="default"/>
                <w:color w:val="000000"/>
                <w:sz w:val="20"/>
                <w:szCs w:val="20"/>
              </w:rPr>
            </w:pPr>
            <w:r>
              <w:rPr>
                <w:rFonts w:cs="宋体"/>
                <w:color w:val="000000"/>
                <w:sz w:val="20"/>
                <w:szCs w:val="20"/>
              </w:rPr>
              <w:t>公开04表</w:t>
            </w:r>
          </w:p>
        </w:tc>
      </w:tr>
      <w:tr>
        <w:tblPrEx>
          <w:tblCellMar>
            <w:top w:w="0" w:type="dxa"/>
            <w:left w:w="108" w:type="dxa"/>
            <w:bottom w:w="0" w:type="dxa"/>
            <w:right w:w="108" w:type="dxa"/>
          </w:tblCellMar>
        </w:tblPrEx>
        <w:trPr>
          <w:trHeight w:val="315" w:hRule="atLeast"/>
        </w:trPr>
        <w:tc>
          <w:tcPr>
            <w:tcW w:w="4831" w:type="dxa"/>
            <w:gridSpan w:val="4"/>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单位</w:t>
            </w:r>
            <w:r>
              <w:rPr>
                <w:rFonts w:cs="宋体"/>
                <w:color w:val="000000"/>
              </w:rPr>
              <w:t>：</w:t>
            </w:r>
            <w:r>
              <w:rPr>
                <w:rFonts w:cs="宋体"/>
                <w:color w:val="000000"/>
                <w:sz w:val="20"/>
                <w:szCs w:val="20"/>
              </w:rPr>
              <w:t>福州市建筑垃圾工程渣土处置中心</w:t>
            </w:r>
          </w:p>
        </w:tc>
        <w:tc>
          <w:tcPr>
            <w:tcW w:w="1874" w:type="dxa"/>
            <w:gridSpan w:val="3"/>
            <w:tcBorders>
              <w:top w:val="nil"/>
              <w:left w:val="nil"/>
              <w:bottom w:val="single" w:color="auto" w:sz="4" w:space="0"/>
              <w:right w:val="nil"/>
            </w:tcBorders>
            <w:shd w:val="clear" w:color="auto" w:fill="auto"/>
            <w:noWrap/>
            <w:vAlign w:val="bottom"/>
          </w:tcPr>
          <w:p>
            <w:pPr>
              <w:rPr>
                <w:rFonts w:hint="default"/>
              </w:rPr>
            </w:pPr>
            <w:r>
              <w:rPr>
                <w:rFonts w:cs="宋体"/>
              </w:rPr>
              <w:t> </w:t>
            </w:r>
          </w:p>
        </w:tc>
        <w:tc>
          <w:tcPr>
            <w:tcW w:w="2970" w:type="dxa"/>
            <w:gridSpan w:val="3"/>
            <w:tcBorders>
              <w:top w:val="nil"/>
              <w:left w:val="nil"/>
              <w:bottom w:val="single" w:color="auto" w:sz="4" w:space="0"/>
              <w:right w:val="nil"/>
            </w:tcBorders>
            <w:shd w:val="clear" w:color="auto" w:fill="auto"/>
            <w:vAlign w:val="bottom"/>
          </w:tcPr>
          <w:p>
            <w:pPr>
              <w:spacing w:beforeAutospacing="1" w:afterAutospacing="1"/>
              <w:ind w:right="206" w:rightChars="86"/>
              <w:jc w:val="right"/>
              <w:rPr>
                <w:rFonts w:hint="default"/>
                <w:color w:val="000000"/>
                <w:sz w:val="20"/>
                <w:szCs w:val="20"/>
              </w:rPr>
            </w:pPr>
            <w:r>
              <w:rPr>
                <w:rFonts w:cs="宋体"/>
                <w:color w:val="000000"/>
                <w:sz w:val="20"/>
                <w:szCs w:val="20"/>
              </w:rPr>
              <w:t>单位：万元</w:t>
            </w:r>
          </w:p>
        </w:tc>
      </w:tr>
      <w:tr>
        <w:tblPrEx>
          <w:tblCellMar>
            <w:top w:w="0" w:type="dxa"/>
            <w:left w:w="108" w:type="dxa"/>
            <w:bottom w:w="0" w:type="dxa"/>
            <w:right w:w="108" w:type="dxa"/>
          </w:tblCellMar>
        </w:tblPrEx>
        <w:trPr>
          <w:trHeight w:val="308" w:hRule="atLeast"/>
        </w:trPr>
        <w:tc>
          <w:tcPr>
            <w:tcW w:w="2730"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收     入</w:t>
            </w:r>
          </w:p>
        </w:tc>
        <w:tc>
          <w:tcPr>
            <w:tcW w:w="6945" w:type="dxa"/>
            <w:gridSpan w:val="8"/>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支     出</w:t>
            </w:r>
          </w:p>
        </w:tc>
      </w:tr>
      <w:tr>
        <w:tblPrEx>
          <w:tblCellMar>
            <w:top w:w="0" w:type="dxa"/>
            <w:left w:w="108" w:type="dxa"/>
            <w:bottom w:w="0" w:type="dxa"/>
            <w:right w:w="108" w:type="dxa"/>
          </w:tblCellMar>
        </w:tblPrEx>
        <w:trPr>
          <w:trHeight w:val="1238"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    目</w:t>
            </w:r>
          </w:p>
        </w:tc>
        <w:tc>
          <w:tcPr>
            <w:tcW w:w="930" w:type="dxa"/>
            <w:tcBorders>
              <w:top w:val="nil"/>
              <w:left w:val="nil"/>
              <w:bottom w:val="single" w:color="000000" w:sz="4" w:space="0"/>
              <w:right w:val="nil"/>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项目（按功能分类）</w:t>
            </w:r>
          </w:p>
        </w:tc>
        <w:tc>
          <w:tcPr>
            <w:tcW w:w="1050" w:type="dxa"/>
            <w:tcBorders>
              <w:top w:val="nil"/>
              <w:left w:val="nil"/>
              <w:bottom w:val="single" w:color="000000"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1106"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一般公共预算财政拨款</w:t>
            </w:r>
          </w:p>
        </w:tc>
        <w:tc>
          <w:tcPr>
            <w:tcW w:w="949"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政府性基金预算财政拨款</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国有资本经营财政拨款</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一、一般公共预算财政拨款</w:t>
            </w:r>
          </w:p>
        </w:tc>
        <w:tc>
          <w:tcPr>
            <w:tcW w:w="930" w:type="dxa"/>
            <w:tcBorders>
              <w:top w:val="nil"/>
              <w:left w:val="nil"/>
              <w:bottom w:val="single" w:color="000000" w:sz="4" w:space="0"/>
              <w:right w:val="nil"/>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697.00</w:t>
            </w:r>
          </w:p>
        </w:tc>
        <w:tc>
          <w:tcPr>
            <w:tcW w:w="29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一、一般公共服务支出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二、政府性基金预算财政拨款</w:t>
            </w:r>
          </w:p>
        </w:tc>
        <w:tc>
          <w:tcPr>
            <w:tcW w:w="930" w:type="dxa"/>
            <w:tcBorders>
              <w:top w:val="nil"/>
              <w:left w:val="nil"/>
              <w:bottom w:val="single" w:color="000000" w:sz="4" w:space="0"/>
              <w:right w:val="nil"/>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二、外交支出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8"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三、国有资本经营预算财政拨款</w:t>
            </w:r>
          </w:p>
        </w:tc>
        <w:tc>
          <w:tcPr>
            <w:tcW w:w="930" w:type="dxa"/>
            <w:tcBorders>
              <w:top w:val="nil"/>
              <w:left w:val="nil"/>
              <w:bottom w:val="single" w:color="000000" w:sz="8" w:space="0"/>
              <w:right w:val="nil"/>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nil"/>
              <w:left w:val="single" w:color="auto" w:sz="4" w:space="0"/>
              <w:bottom w:val="single" w:color="000000" w:sz="8"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三、国防支出</w:t>
            </w:r>
          </w:p>
        </w:tc>
        <w:tc>
          <w:tcPr>
            <w:tcW w:w="1050"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000000" w:sz="8"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color w:val="000000"/>
                <w:sz w:val="20"/>
                <w:szCs w:val="20"/>
              </w:rPr>
            </w:pPr>
          </w:p>
        </w:tc>
        <w:tc>
          <w:tcPr>
            <w:tcW w:w="2925"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四、公共安全支出</w:t>
            </w:r>
          </w:p>
        </w:tc>
        <w:tc>
          <w:tcPr>
            <w:tcW w:w="10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000000" w:sz="8" w:space="0"/>
              <w:left w:val="single" w:color="000000" w:sz="8" w:space="0"/>
              <w:bottom w:val="single" w:color="000000" w:sz="8"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000000" w:sz="8" w:space="0"/>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single" w:color="000000" w:sz="8"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五、教育支出</w:t>
            </w:r>
          </w:p>
        </w:tc>
        <w:tc>
          <w:tcPr>
            <w:tcW w:w="1050"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000000" w:sz="8"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六、科学技术支出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七、文化旅游体育与传媒支出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八、社会保障和就业支出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27.44</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27.44</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九、卫生健康支出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十、节能环保支出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十一、城乡社区支出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723.51</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723.51</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十二、农林水支出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十三、交通运输支出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十四、资源勘探信息等支出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十五、商业服务业等支出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十六、金融支出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auto"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十七、援助其他地区支出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十八、自然资源海洋气象等支出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十九、住房保障支出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26.18</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26.18</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二十、粮油物资储备支出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二十一、国有资本经营预算支出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二十二、灾害防治及应急管理支出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auto"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二十三、其他支出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二十四、债务还本支出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二十五、债务付息支出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b/>
                <w:bCs/>
                <w:color w:val="000000"/>
                <w:sz w:val="20"/>
                <w:szCs w:val="20"/>
              </w:rPr>
            </w:pPr>
            <w:r>
              <w:rPr>
                <w:rFonts w:cs="宋体"/>
                <w:color w:val="000000"/>
                <w:sz w:val="20"/>
                <w:szCs w:val="20"/>
              </w:rPr>
              <w:t>二十六、抗疫特别国债安排的支出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本年收入合计</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697</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本年支出合计</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777.13</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777.13</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年初财政拨款结转和结余</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80</w:t>
            </w:r>
            <w:r>
              <w:rPr>
                <w:rFonts w:cs="宋体"/>
                <w:color w:val="000000"/>
                <w:sz w:val="20"/>
                <w:szCs w:val="20"/>
              </w:rPr>
              <w:t>.13</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年末财政拨款结转和结余</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ind w:firstLine="200" w:firstLineChars="100"/>
              <w:rPr>
                <w:rFonts w:hint="default"/>
                <w:color w:val="000000"/>
                <w:sz w:val="20"/>
                <w:szCs w:val="20"/>
              </w:rPr>
            </w:pPr>
            <w:r>
              <w:rPr>
                <w:rFonts w:cs="宋体"/>
                <w:color w:val="000000"/>
                <w:sz w:val="20"/>
                <w:szCs w:val="20"/>
              </w:rPr>
              <w:t>一般公共预算财政拨款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80</w:t>
            </w:r>
            <w:r>
              <w:rPr>
                <w:rFonts w:cs="宋体"/>
                <w:color w:val="000000"/>
                <w:sz w:val="20"/>
                <w:szCs w:val="20"/>
              </w:rPr>
              <w:t>.13</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ind w:firstLine="200" w:firstLineChars="100"/>
              <w:rPr>
                <w:rFonts w:hint="default"/>
                <w:color w:val="000000"/>
                <w:sz w:val="20"/>
                <w:szCs w:val="20"/>
              </w:rPr>
            </w:pPr>
            <w:r>
              <w:rPr>
                <w:rFonts w:cs="宋体"/>
                <w:color w:val="000000"/>
                <w:sz w:val="20"/>
                <w:szCs w:val="20"/>
              </w:rPr>
              <w:t>政府性基金预算财政拨款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83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国有资本经营预算财政拨款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777.13</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777.13</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hint="default" w:cs="宋体"/>
                <w:color w:val="000000"/>
                <w:sz w:val="20"/>
                <w:szCs w:val="20"/>
              </w:rPr>
              <w:t>777.13</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bl>
    <w:p>
      <w:pPr>
        <w:pStyle w:val="22"/>
        <w:rPr>
          <w:rFonts w:hint="default" w:cs="宋体"/>
        </w:rPr>
      </w:pPr>
      <w:r>
        <w:rPr>
          <w:rFonts w:cs="宋体"/>
        </w:rPr>
        <w:t>注：本表反映单位本年度一般公共预算财政拨款、政府性基金预算财政拨款和国有资本经营预算财政拨款的总收支和年末结转结余情况。</w:t>
      </w:r>
    </w:p>
    <w:p>
      <w:pPr>
        <w:pStyle w:val="3"/>
        <w:rPr>
          <w:rFonts w:hint="default" w:cs="宋体"/>
        </w:rPr>
      </w:pPr>
      <w:bookmarkStart w:id="64" w:name="_Toc682"/>
      <w:bookmarkEnd w:id="64"/>
      <w:bookmarkStart w:id="65" w:name="_Toc4982"/>
      <w:bookmarkStart w:id="66" w:name="_Toc19626"/>
      <w:bookmarkStart w:id="67" w:name="_Toc15267"/>
      <w:bookmarkStart w:id="68" w:name="_Toc27139"/>
      <w:bookmarkStart w:id="69" w:name="_Toc3204"/>
      <w:bookmarkStart w:id="70" w:name="_Toc23075"/>
      <w:r>
        <w:rPr>
          <w:rFonts w:cs="宋体"/>
        </w:rPr>
        <w:t>五、一般公共预算财政拨款支出决算表</w:t>
      </w:r>
      <w:bookmarkEnd w:id="65"/>
      <w:bookmarkEnd w:id="66"/>
      <w:bookmarkEnd w:id="67"/>
      <w:bookmarkEnd w:id="68"/>
      <w:bookmarkEnd w:id="69"/>
      <w:bookmarkEnd w:id="70"/>
    </w:p>
    <w:tbl>
      <w:tblPr>
        <w:tblStyle w:val="16"/>
        <w:tblW w:w="8076" w:type="dxa"/>
        <w:jc w:val="center"/>
        <w:tblLayout w:type="fixed"/>
        <w:tblCellMar>
          <w:top w:w="0" w:type="dxa"/>
          <w:left w:w="108" w:type="dxa"/>
          <w:bottom w:w="0" w:type="dxa"/>
          <w:right w:w="108" w:type="dxa"/>
        </w:tblCellMar>
      </w:tblPr>
      <w:tblGrid>
        <w:gridCol w:w="1396"/>
        <w:gridCol w:w="2541"/>
        <w:gridCol w:w="240"/>
        <w:gridCol w:w="897"/>
        <w:gridCol w:w="444"/>
        <w:gridCol w:w="1110"/>
        <w:gridCol w:w="1448"/>
      </w:tblGrid>
      <w:tr>
        <w:tblPrEx>
          <w:tblCellMar>
            <w:top w:w="0" w:type="dxa"/>
            <w:left w:w="108" w:type="dxa"/>
            <w:bottom w:w="0" w:type="dxa"/>
            <w:right w:w="108" w:type="dxa"/>
          </w:tblCellMar>
        </w:tblPrEx>
        <w:trPr>
          <w:trHeight w:val="556" w:hRule="atLeast"/>
          <w:jc w:val="center"/>
        </w:trPr>
        <w:tc>
          <w:tcPr>
            <w:tcW w:w="8076" w:type="dxa"/>
            <w:gridSpan w:val="7"/>
            <w:tcBorders>
              <w:top w:val="nil"/>
              <w:left w:val="nil"/>
              <w:bottom w:val="nil"/>
              <w:right w:val="nil"/>
            </w:tcBorders>
            <w:shd w:val="clear" w:color="auto" w:fill="auto"/>
            <w:noWrap/>
            <w:vAlign w:val="bottom"/>
          </w:tcPr>
          <w:p>
            <w:pPr>
              <w:spacing w:beforeAutospacing="1" w:afterAutospacing="1"/>
              <w:jc w:val="center"/>
              <w:rPr>
                <w:rFonts w:hint="default"/>
                <w:sz w:val="44"/>
                <w:szCs w:val="44"/>
              </w:rPr>
            </w:pPr>
            <w:r>
              <w:rPr>
                <w:rFonts w:cs="宋体"/>
                <w:color w:val="000000"/>
                <w:sz w:val="32"/>
                <w:szCs w:val="32"/>
              </w:rPr>
              <w:t>一般公共财政拨款支出决算表</w:t>
            </w:r>
          </w:p>
        </w:tc>
      </w:tr>
      <w:tr>
        <w:tblPrEx>
          <w:tblCellMar>
            <w:top w:w="0" w:type="dxa"/>
            <w:left w:w="108" w:type="dxa"/>
            <w:bottom w:w="0" w:type="dxa"/>
            <w:right w:w="108" w:type="dxa"/>
          </w:tblCellMar>
        </w:tblPrEx>
        <w:trPr>
          <w:trHeight w:val="90" w:hRule="atLeast"/>
          <w:jc w:val="center"/>
        </w:trPr>
        <w:tc>
          <w:tcPr>
            <w:tcW w:w="8076" w:type="dxa"/>
            <w:gridSpan w:val="7"/>
            <w:tcBorders>
              <w:top w:val="nil"/>
              <w:left w:val="nil"/>
              <w:bottom w:val="nil"/>
              <w:right w:val="nil"/>
            </w:tcBorders>
            <w:shd w:val="clear" w:color="auto" w:fill="auto"/>
            <w:noWrap/>
            <w:vAlign w:val="bottom"/>
          </w:tcPr>
          <w:p>
            <w:pPr>
              <w:spacing w:beforeAutospacing="1" w:afterAutospacing="1"/>
              <w:jc w:val="right"/>
              <w:rPr>
                <w:rFonts w:hint="default"/>
                <w:sz w:val="20"/>
                <w:szCs w:val="20"/>
              </w:rPr>
            </w:pPr>
            <w:r>
              <w:rPr>
                <w:rFonts w:cs="宋体"/>
                <w:sz w:val="20"/>
                <w:szCs w:val="20"/>
              </w:rPr>
              <w:t>公开05表</w:t>
            </w:r>
          </w:p>
        </w:tc>
      </w:tr>
      <w:tr>
        <w:tblPrEx>
          <w:tblCellMar>
            <w:top w:w="0" w:type="dxa"/>
            <w:left w:w="108" w:type="dxa"/>
            <w:bottom w:w="0" w:type="dxa"/>
            <w:right w:w="108" w:type="dxa"/>
          </w:tblCellMar>
        </w:tblPrEx>
        <w:trPr>
          <w:trHeight w:val="435" w:hRule="atLeast"/>
          <w:jc w:val="center"/>
        </w:trPr>
        <w:tc>
          <w:tcPr>
            <w:tcW w:w="3937" w:type="dxa"/>
            <w:gridSpan w:val="2"/>
            <w:tcBorders>
              <w:top w:val="nil"/>
              <w:left w:val="nil"/>
              <w:bottom w:val="nil"/>
              <w:right w:val="nil"/>
            </w:tcBorders>
            <w:shd w:val="clear" w:color="auto" w:fill="auto"/>
            <w:noWrap/>
            <w:vAlign w:val="center"/>
          </w:tcPr>
          <w:p>
            <w:pPr>
              <w:spacing w:beforeAutospacing="1" w:afterAutospacing="1"/>
              <w:rPr>
                <w:rFonts w:hint="default"/>
              </w:rPr>
            </w:pPr>
            <w:r>
              <w:rPr>
                <w:rFonts w:cs="宋体"/>
                <w:sz w:val="20"/>
                <w:szCs w:val="20"/>
              </w:rPr>
              <w:t>单位</w:t>
            </w:r>
            <w:r>
              <w:rPr>
                <w:rFonts w:cs="宋体"/>
              </w:rPr>
              <w:t>：</w:t>
            </w:r>
            <w:r>
              <w:rPr>
                <w:rFonts w:cs="宋体"/>
                <w:color w:val="000000"/>
                <w:sz w:val="20"/>
                <w:szCs w:val="20"/>
              </w:rPr>
              <w:t>福州市建筑垃圾工程渣土处置中心</w:t>
            </w:r>
          </w:p>
        </w:tc>
        <w:tc>
          <w:tcPr>
            <w:tcW w:w="240" w:type="dxa"/>
            <w:tcBorders>
              <w:top w:val="nil"/>
              <w:left w:val="nil"/>
              <w:bottom w:val="single" w:color="auto" w:sz="4" w:space="0"/>
              <w:right w:val="nil"/>
            </w:tcBorders>
            <w:shd w:val="clear" w:color="auto" w:fill="auto"/>
            <w:noWrap/>
            <w:vAlign w:val="center"/>
          </w:tcPr>
          <w:p>
            <w:pPr>
              <w:rPr>
                <w:rFonts w:hint="default"/>
              </w:rPr>
            </w:pPr>
            <w:r>
              <w:rPr>
                <w:rFonts w:cs="宋体"/>
              </w:rPr>
              <w:t> </w:t>
            </w:r>
          </w:p>
        </w:tc>
        <w:tc>
          <w:tcPr>
            <w:tcW w:w="1341" w:type="dxa"/>
            <w:gridSpan w:val="2"/>
            <w:tcBorders>
              <w:top w:val="nil"/>
              <w:left w:val="nil"/>
              <w:bottom w:val="nil"/>
              <w:right w:val="nil"/>
            </w:tcBorders>
            <w:shd w:val="clear" w:color="auto" w:fill="auto"/>
            <w:noWrap/>
            <w:vAlign w:val="center"/>
          </w:tcPr>
          <w:p>
            <w:pPr>
              <w:rPr>
                <w:rFonts w:hint="default"/>
              </w:rPr>
            </w:pPr>
            <w:r>
              <w:rPr>
                <w:rFonts w:cs="宋体"/>
              </w:rPr>
              <w:t> </w:t>
            </w:r>
          </w:p>
        </w:tc>
        <w:tc>
          <w:tcPr>
            <w:tcW w:w="2558" w:type="dxa"/>
            <w:gridSpan w:val="2"/>
            <w:tcBorders>
              <w:top w:val="nil"/>
              <w:left w:val="nil"/>
              <w:bottom w:val="nil"/>
              <w:right w:val="nil"/>
            </w:tcBorders>
            <w:shd w:val="clear" w:color="auto" w:fill="auto"/>
            <w:noWrap/>
            <w:vAlign w:val="center"/>
          </w:tcPr>
          <w:p>
            <w:pPr>
              <w:spacing w:beforeAutospacing="1" w:afterAutospacing="1"/>
              <w:jc w:val="right"/>
              <w:rPr>
                <w:rFonts w:hint="default"/>
                <w:sz w:val="20"/>
                <w:szCs w:val="20"/>
              </w:rPr>
            </w:pPr>
            <w:r>
              <w:rPr>
                <w:rFonts w:cs="宋体"/>
                <w:sz w:val="20"/>
                <w:szCs w:val="20"/>
              </w:rPr>
              <w:t>单位：万元</w:t>
            </w:r>
          </w:p>
        </w:tc>
      </w:tr>
      <w:tr>
        <w:tblPrEx>
          <w:tblCellMar>
            <w:top w:w="0" w:type="dxa"/>
            <w:left w:w="108" w:type="dxa"/>
            <w:bottom w:w="0" w:type="dxa"/>
            <w:right w:w="108" w:type="dxa"/>
          </w:tblCellMar>
        </w:tblPrEx>
        <w:trPr>
          <w:trHeight w:val="510" w:hRule="atLeast"/>
          <w:jc w:val="center"/>
        </w:trPr>
        <w:tc>
          <w:tcPr>
            <w:tcW w:w="41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rPr>
            </w:pPr>
            <w:r>
              <w:rPr>
                <w:rFonts w:cs="宋体"/>
              </w:rPr>
              <w:t>项   目</w:t>
            </w:r>
          </w:p>
        </w:tc>
        <w:tc>
          <w:tcPr>
            <w:tcW w:w="3899"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rPr>
            </w:pPr>
            <w:r>
              <w:rPr>
                <w:rFonts w:cs="宋体"/>
              </w:rPr>
              <w:t>本年支出</w:t>
            </w:r>
          </w:p>
        </w:tc>
      </w:tr>
      <w:tr>
        <w:tblPrEx>
          <w:tblCellMar>
            <w:top w:w="0" w:type="dxa"/>
            <w:left w:w="108" w:type="dxa"/>
            <w:bottom w:w="0" w:type="dxa"/>
            <w:right w:w="108" w:type="dxa"/>
          </w:tblCellMar>
        </w:tblPrEx>
        <w:trPr>
          <w:trHeight w:val="540" w:hRule="atLeast"/>
          <w:jc w:val="center"/>
        </w:trPr>
        <w:tc>
          <w:tcPr>
            <w:tcW w:w="1396" w:type="dxa"/>
            <w:tcBorders>
              <w:top w:val="nil"/>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功能分类科目编码</w:t>
            </w:r>
          </w:p>
        </w:tc>
        <w:tc>
          <w:tcPr>
            <w:tcW w:w="2781" w:type="dxa"/>
            <w:gridSpan w:val="2"/>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897"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小计</w:t>
            </w:r>
          </w:p>
        </w:tc>
        <w:tc>
          <w:tcPr>
            <w:tcW w:w="1554" w:type="dxa"/>
            <w:gridSpan w:val="2"/>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1448"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r>
      <w:tr>
        <w:tblPrEx>
          <w:tblCellMar>
            <w:top w:w="0" w:type="dxa"/>
            <w:left w:w="108" w:type="dxa"/>
            <w:bottom w:w="0" w:type="dxa"/>
            <w:right w:w="108" w:type="dxa"/>
          </w:tblCellMar>
        </w:tblPrEx>
        <w:trPr>
          <w:trHeight w:val="435" w:hRule="atLeast"/>
          <w:jc w:val="center"/>
        </w:trPr>
        <w:tc>
          <w:tcPr>
            <w:tcW w:w="41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897"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777.13</w:t>
            </w:r>
          </w:p>
        </w:tc>
        <w:tc>
          <w:tcPr>
            <w:tcW w:w="155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204.47</w:t>
            </w:r>
          </w:p>
        </w:tc>
        <w:tc>
          <w:tcPr>
            <w:tcW w:w="1448"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572.86</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社会保障和就业支出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行政事业单位养老支出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27.44</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事业单位离退休</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4.55</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4.55</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机关事业单位基本养老保险缴费支出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15.26</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15.26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2080506</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机关事业单位职业年金缴费支出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7.63</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7.63</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723.51</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150.65</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572.86</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城乡社区环境卫生</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723.51</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150.65</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572.86</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2120501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城乡社区环境卫生</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723.51</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150.65</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550.31</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住房保障支出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住房改革支出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b/>
                <w:bCs/>
                <w:color w:val="000000"/>
                <w:sz w:val="20"/>
                <w:szCs w:val="20"/>
              </w:rPr>
              <w:t>26.18</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住房公积金</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16.37</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16.37</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提租补贴</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5.27</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5.27</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2210203</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购房补贴</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4.54</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4.54</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bl>
    <w:p>
      <w:pPr>
        <w:pStyle w:val="22"/>
        <w:rPr>
          <w:rFonts w:hint="default" w:cs="宋体"/>
        </w:rPr>
      </w:pPr>
      <w:r>
        <w:rPr>
          <w:rFonts w:cs="宋体"/>
        </w:rPr>
        <w:t>注：本表反映单位本年度一般公共预算财政拨款支出情况。</w:t>
      </w:r>
    </w:p>
    <w:p>
      <w:pPr>
        <w:pStyle w:val="3"/>
        <w:rPr>
          <w:rFonts w:hint="default" w:cs="宋体"/>
        </w:rPr>
      </w:pPr>
      <w:bookmarkStart w:id="71" w:name="_Toc9118"/>
      <w:bookmarkEnd w:id="71"/>
    </w:p>
    <w:p>
      <w:pPr>
        <w:pStyle w:val="3"/>
        <w:rPr>
          <w:rFonts w:hint="default" w:cs="宋体"/>
        </w:rPr>
      </w:pPr>
    </w:p>
    <w:p>
      <w:pPr>
        <w:pStyle w:val="3"/>
        <w:rPr>
          <w:rFonts w:hint="default" w:cs="宋体"/>
        </w:rPr>
      </w:pPr>
    </w:p>
    <w:p>
      <w:pPr>
        <w:pStyle w:val="3"/>
        <w:rPr>
          <w:rFonts w:hint="default" w:cs="宋体"/>
        </w:rPr>
      </w:pPr>
    </w:p>
    <w:p>
      <w:pPr>
        <w:pStyle w:val="3"/>
        <w:rPr>
          <w:rFonts w:hint="default" w:cs="宋体"/>
        </w:rPr>
      </w:pPr>
      <w:bookmarkStart w:id="72" w:name="_Toc8368"/>
      <w:bookmarkStart w:id="73" w:name="_Toc5178"/>
      <w:bookmarkStart w:id="74" w:name="_Toc10091"/>
      <w:bookmarkStart w:id="75" w:name="_Toc28773"/>
      <w:bookmarkStart w:id="76" w:name="_Toc8417"/>
      <w:bookmarkStart w:id="77" w:name="_Toc13788"/>
      <w:r>
        <w:rPr>
          <w:rFonts w:cs="宋体"/>
        </w:rPr>
        <w:t>六、一般公共预算财政拨款基本支出决算表</w:t>
      </w:r>
      <w:bookmarkEnd w:id="72"/>
      <w:bookmarkEnd w:id="73"/>
      <w:bookmarkEnd w:id="74"/>
      <w:bookmarkEnd w:id="75"/>
      <w:bookmarkEnd w:id="76"/>
      <w:bookmarkEnd w:id="77"/>
      <w:r>
        <w:rPr>
          <w:rFonts w:cs="宋体"/>
        </w:rPr>
        <w:t xml:space="preserve"> </w:t>
      </w:r>
    </w:p>
    <w:tbl>
      <w:tblPr>
        <w:tblStyle w:val="16"/>
        <w:tblW w:w="9405" w:type="dxa"/>
        <w:tblInd w:w="-166" w:type="dxa"/>
        <w:tblLayout w:type="fixed"/>
        <w:tblCellMar>
          <w:top w:w="0" w:type="dxa"/>
          <w:left w:w="108" w:type="dxa"/>
          <w:bottom w:w="0" w:type="dxa"/>
          <w:right w:w="108" w:type="dxa"/>
        </w:tblCellMar>
      </w:tblPr>
      <w:tblGrid>
        <w:gridCol w:w="930"/>
        <w:gridCol w:w="1215"/>
        <w:gridCol w:w="856"/>
        <w:gridCol w:w="854"/>
        <w:gridCol w:w="1260"/>
        <w:gridCol w:w="721"/>
        <w:gridCol w:w="851"/>
        <w:gridCol w:w="1503"/>
        <w:gridCol w:w="795"/>
        <w:gridCol w:w="420"/>
      </w:tblGrid>
      <w:tr>
        <w:tblPrEx>
          <w:tblCellMar>
            <w:top w:w="0" w:type="dxa"/>
            <w:left w:w="108" w:type="dxa"/>
            <w:bottom w:w="0" w:type="dxa"/>
            <w:right w:w="108" w:type="dxa"/>
          </w:tblCellMar>
        </w:tblPrEx>
        <w:trPr>
          <w:gridAfter w:val="1"/>
          <w:wAfter w:w="420" w:type="dxa"/>
          <w:trHeight w:val="440" w:hRule="atLeast"/>
        </w:trPr>
        <w:tc>
          <w:tcPr>
            <w:tcW w:w="8985" w:type="dxa"/>
            <w:gridSpan w:val="9"/>
            <w:tcBorders>
              <w:top w:val="nil"/>
              <w:left w:val="nil"/>
              <w:bottom w:val="nil"/>
              <w:right w:val="nil"/>
            </w:tcBorders>
            <w:shd w:val="clear" w:color="auto" w:fill="auto"/>
            <w:noWrap/>
            <w:vAlign w:val="center"/>
          </w:tcPr>
          <w:p>
            <w:pPr>
              <w:spacing w:beforeAutospacing="1" w:afterAutospacing="1"/>
              <w:jc w:val="center"/>
              <w:rPr>
                <w:rFonts w:hint="default"/>
                <w:color w:val="000000"/>
                <w:sz w:val="44"/>
                <w:szCs w:val="44"/>
              </w:rPr>
            </w:pPr>
            <w:r>
              <w:rPr>
                <w:rFonts w:cs="宋体"/>
                <w:color w:val="000000"/>
                <w:sz w:val="32"/>
                <w:szCs w:val="32"/>
              </w:rPr>
              <w:t>一般公共预算财政拨款基本支出决算表</w:t>
            </w:r>
          </w:p>
        </w:tc>
      </w:tr>
      <w:tr>
        <w:tblPrEx>
          <w:tblCellMar>
            <w:top w:w="0" w:type="dxa"/>
            <w:left w:w="108" w:type="dxa"/>
            <w:bottom w:w="0" w:type="dxa"/>
            <w:right w:w="108" w:type="dxa"/>
          </w:tblCellMar>
        </w:tblPrEx>
        <w:trPr>
          <w:trHeight w:val="416" w:hRule="atLeast"/>
        </w:trPr>
        <w:tc>
          <w:tcPr>
            <w:tcW w:w="8985" w:type="dxa"/>
            <w:gridSpan w:val="9"/>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公开06表</w:t>
            </w:r>
          </w:p>
        </w:tc>
        <w:tc>
          <w:tcPr>
            <w:tcW w:w="420" w:type="dxa"/>
            <w:tcBorders>
              <w:top w:val="nil"/>
              <w:left w:val="nil"/>
              <w:bottom w:val="nil"/>
              <w:right w:val="nil"/>
            </w:tcBorders>
            <w:shd w:val="clear" w:color="auto" w:fill="auto"/>
            <w:noWrap/>
            <w:vAlign w:val="bottom"/>
          </w:tcPr>
          <w:p>
            <w:pPr>
              <w:spacing w:beforeAutospacing="1" w:afterAutospacing="1"/>
              <w:rPr>
                <w:rFonts w:hint="default"/>
                <w:color w:val="000000"/>
              </w:rPr>
            </w:pPr>
          </w:p>
        </w:tc>
      </w:tr>
      <w:tr>
        <w:tblPrEx>
          <w:tblCellMar>
            <w:top w:w="0" w:type="dxa"/>
            <w:left w:w="108" w:type="dxa"/>
            <w:bottom w:w="0" w:type="dxa"/>
            <w:right w:w="108" w:type="dxa"/>
          </w:tblCellMar>
        </w:tblPrEx>
        <w:trPr>
          <w:trHeight w:val="401" w:hRule="atLeast"/>
        </w:trPr>
        <w:tc>
          <w:tcPr>
            <w:tcW w:w="3855" w:type="dxa"/>
            <w:gridSpan w:val="4"/>
            <w:tcBorders>
              <w:top w:val="nil"/>
              <w:left w:val="nil"/>
              <w:bottom w:val="nil"/>
              <w:right w:val="nil"/>
            </w:tcBorders>
            <w:shd w:val="clear" w:color="auto" w:fill="auto"/>
            <w:noWrap/>
            <w:vAlign w:val="center"/>
          </w:tcPr>
          <w:p>
            <w:pPr>
              <w:spacing w:beforeAutospacing="1" w:afterAutospacing="1"/>
              <w:rPr>
                <w:rFonts w:hint="default"/>
                <w:color w:val="000000"/>
              </w:rPr>
            </w:pPr>
            <w:r>
              <w:rPr>
                <w:rFonts w:cs="宋体"/>
                <w:color w:val="000000"/>
                <w:sz w:val="20"/>
                <w:szCs w:val="20"/>
              </w:rPr>
              <w:t>单位：福州市建筑垃圾工程渣土处置中心</w:t>
            </w:r>
          </w:p>
        </w:tc>
        <w:tc>
          <w:tcPr>
            <w:tcW w:w="5550" w:type="dxa"/>
            <w:gridSpan w:val="6"/>
            <w:tcBorders>
              <w:top w:val="nil"/>
              <w:left w:val="nil"/>
              <w:bottom w:val="nil"/>
              <w:right w:val="nil"/>
            </w:tcBorders>
            <w:shd w:val="clear" w:color="auto" w:fill="auto"/>
            <w:noWrap/>
            <w:vAlign w:val="bottom"/>
          </w:tcPr>
          <w:p>
            <w:pPr>
              <w:spacing w:beforeAutospacing="1" w:afterAutospacing="1"/>
              <w:ind w:right="720"/>
              <w:rPr>
                <w:rFonts w:hint="default"/>
                <w:color w:val="000000"/>
              </w:rPr>
            </w:pPr>
            <w:r>
              <w:rPr>
                <w:rFonts w:cs="宋体"/>
                <w:color w:val="000000"/>
                <w:sz w:val="20"/>
                <w:szCs w:val="20"/>
              </w:rPr>
              <w:t xml:space="preserve">                                    单位：万元</w:t>
            </w:r>
          </w:p>
        </w:tc>
      </w:tr>
      <w:tr>
        <w:tblPrEx>
          <w:tblCellMar>
            <w:top w:w="0" w:type="dxa"/>
            <w:left w:w="108" w:type="dxa"/>
            <w:bottom w:w="0" w:type="dxa"/>
            <w:right w:w="108" w:type="dxa"/>
          </w:tblCellMar>
        </w:tblPrEx>
        <w:trPr>
          <w:gridAfter w:val="1"/>
          <w:wAfter w:w="420" w:type="dxa"/>
          <w:trHeight w:val="350" w:hRule="atLeast"/>
        </w:trPr>
        <w:tc>
          <w:tcPr>
            <w:tcW w:w="30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人员经费</w:t>
            </w:r>
          </w:p>
        </w:tc>
        <w:tc>
          <w:tcPr>
            <w:tcW w:w="5984" w:type="dxa"/>
            <w:gridSpan w:val="6"/>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公用经费</w:t>
            </w:r>
          </w:p>
        </w:tc>
      </w:tr>
      <w:tr>
        <w:tblPrEx>
          <w:tblCellMar>
            <w:top w:w="0" w:type="dxa"/>
            <w:left w:w="108" w:type="dxa"/>
            <w:bottom w:w="0" w:type="dxa"/>
            <w:right w:w="108" w:type="dxa"/>
          </w:tblCellMar>
        </w:tblPrEx>
        <w:trPr>
          <w:gridAfter w:val="1"/>
          <w:wAfter w:w="420" w:type="dxa"/>
          <w:trHeight w:val="312"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215"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856"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854"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260"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721"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851"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503"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795"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r>
      <w:tr>
        <w:tblPrEx>
          <w:tblCellMar>
            <w:top w:w="0" w:type="dxa"/>
            <w:left w:w="108" w:type="dxa"/>
            <w:bottom w:w="0" w:type="dxa"/>
            <w:right w:w="108" w:type="dxa"/>
          </w:tblCellMar>
        </w:tblPrEx>
        <w:trPr>
          <w:gridAfter w:val="1"/>
          <w:wAfter w:w="420" w:type="dxa"/>
          <w:trHeight w:val="312" w:hRule="atLeast"/>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1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6"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4"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21"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503"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9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gridAfter w:val="1"/>
          <w:wAfter w:w="420" w:type="dxa"/>
          <w:trHeight w:val="312" w:hRule="atLeast"/>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1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6"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4"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21"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503"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9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工资福利支出</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183.39</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商品和服务支出</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16.33</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债务利息及费用支出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基本工资</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54.22</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30201</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办公费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3.83</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国内债务付息</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30102</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津贴补贴</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9.81</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30202</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印刷费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30702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国外债务付息</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30103</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奖金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26.46</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30203</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咨询费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资本性支出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30106</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伙食补助费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手续费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房屋建筑物购建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30107</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绩效工资</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44.38</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30205</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水费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办公设备购置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30108</w:t>
            </w:r>
          </w:p>
        </w:tc>
        <w:tc>
          <w:tcPr>
            <w:tcW w:w="1215"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机关事业单位基本养老保险缴费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15.26</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30206</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电费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31003</w:t>
            </w:r>
          </w:p>
        </w:tc>
        <w:tc>
          <w:tcPr>
            <w:tcW w:w="1503"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专用设备购置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职业年金缴费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6.20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邮电费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31005</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基础设施建设</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08"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30110</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职工基本医疗保险缴费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7.63</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取暖费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31006</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大型修缮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08"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公务员医疗补助缴费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30209</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物业管理费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信息网络及软件购置更新</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30112</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其他社会保障缴费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1.3</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差旅费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31008</w:t>
            </w:r>
          </w:p>
        </w:tc>
        <w:tc>
          <w:tcPr>
            <w:tcW w:w="1503"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物资储备</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30113</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住房公积金</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16.38</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因公出国（境）费用</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31009</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土地补偿</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30114</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医疗费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30213</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维修（护）费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4.83</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31010</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安置补助</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30199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其他工资福利支出</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租赁费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地上附着物和青苗补偿</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对个人和家庭的补助</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4.55</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会议费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31012</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拆迁补偿</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30301</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离休费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培训费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31013</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公务用车购置</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30302</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退休费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公务接待费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其他交通工具购置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30303</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退职（役）费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专用材料费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31021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文物和陈列品购置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484"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30304</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抚恤金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被装购置费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31022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无形资产购置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生活补助</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30225</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专用燃料费</w:t>
            </w:r>
          </w:p>
        </w:tc>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31099</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其他资本性支出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30306</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救济费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劳务费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对企业补助</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30307</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医疗费补助</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委托业务费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资本金注入</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30308</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助学金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工会经费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2.00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31203</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政府投资基金股权投资</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30309</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奖励金</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福利费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31204</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费用补贴</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30310</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个人农业生产补贴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30231</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公务用车运行维护费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0.79</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31205</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利息补贴</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rPr>
          <w:gridAfter w:val="1"/>
          <w:wAfter w:w="420" w:type="dxa"/>
          <w:trHeight w:val="391"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30311</w:t>
            </w:r>
          </w:p>
        </w:tc>
        <w:tc>
          <w:tcPr>
            <w:tcW w:w="1215"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代缴社会保险费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30239</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其他交通费用</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31299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其他对企业补助</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58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30399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其他对个人和家庭的补助</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4.55</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30240</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税金及附加费用</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w:t>
            </w:r>
          </w:p>
        </w:tc>
        <w:tc>
          <w:tcPr>
            <w:tcW w:w="1503"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43"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30299</w:t>
            </w:r>
          </w:p>
        </w:tc>
        <w:tc>
          <w:tcPr>
            <w:tcW w:w="1260"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其他商品和服务支出</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5.08</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39906</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赠与</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国家赔偿费用支出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39908</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对民间非营利组织和群众性自治组织补贴</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39999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21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人员经费合计</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187.94</w:t>
            </w:r>
          </w:p>
        </w:tc>
        <w:tc>
          <w:tcPr>
            <w:tcW w:w="5189" w:type="dxa"/>
            <w:gridSpan w:val="5"/>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公用经费合计</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hint="default" w:cs="宋体"/>
                <w:color w:val="000000"/>
                <w:sz w:val="20"/>
                <w:szCs w:val="20"/>
              </w:rPr>
              <w:t>16.53</w:t>
            </w:r>
          </w:p>
        </w:tc>
      </w:tr>
    </w:tbl>
    <w:p>
      <w:pPr>
        <w:pStyle w:val="22"/>
        <w:rPr>
          <w:rFonts w:hint="default" w:cs="宋体"/>
        </w:rPr>
      </w:pPr>
      <w:r>
        <w:rPr>
          <w:rFonts w:cs="宋体"/>
        </w:rPr>
        <w:t>注：本表反映单位本年度一般公共预算财政拨款基本支出明细情况。</w:t>
      </w:r>
    </w:p>
    <w:p>
      <w:pPr>
        <w:pStyle w:val="3"/>
        <w:rPr>
          <w:rFonts w:hint="default" w:cs="宋体"/>
        </w:rPr>
      </w:pPr>
      <w:bookmarkStart w:id="78" w:name="_Toc12443"/>
      <w:bookmarkEnd w:id="78"/>
      <w:bookmarkStart w:id="79" w:name="_Toc1156"/>
      <w:bookmarkStart w:id="80" w:name="_Toc21891"/>
      <w:bookmarkStart w:id="81" w:name="_Toc30267"/>
      <w:bookmarkStart w:id="82" w:name="_Toc12980"/>
      <w:bookmarkStart w:id="83" w:name="_Toc6097"/>
      <w:bookmarkStart w:id="84" w:name="_Toc11385"/>
      <w:r>
        <w:rPr>
          <w:rFonts w:cs="宋体"/>
        </w:rPr>
        <w:t>七、一般公共预算财政拨款“三公”经费支出决算表</w:t>
      </w:r>
      <w:bookmarkEnd w:id="79"/>
      <w:bookmarkEnd w:id="80"/>
      <w:bookmarkEnd w:id="81"/>
      <w:bookmarkEnd w:id="82"/>
      <w:bookmarkEnd w:id="83"/>
      <w:bookmarkEnd w:id="84"/>
      <w:r>
        <w:rPr>
          <w:rFonts w:cs="宋体"/>
        </w:rPr>
        <w:t xml:space="preserve"> </w:t>
      </w:r>
    </w:p>
    <w:tbl>
      <w:tblPr>
        <w:tblStyle w:val="16"/>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8375" w:type="dxa"/>
            <w:gridSpan w:val="3"/>
            <w:tcBorders>
              <w:top w:val="nil"/>
              <w:left w:val="nil"/>
              <w:bottom w:val="nil"/>
              <w:right w:val="nil"/>
            </w:tcBorders>
            <w:shd w:val="clear" w:color="auto" w:fill="auto"/>
            <w:noWrap/>
            <w:vAlign w:val="center"/>
          </w:tcPr>
          <w:p>
            <w:pPr>
              <w:spacing w:beforeAutospacing="1" w:afterAutospacing="1"/>
              <w:jc w:val="center"/>
              <w:rPr>
                <w:rFonts w:hint="default"/>
              </w:rPr>
            </w:pPr>
            <w:r>
              <w:rPr>
                <w:rFonts w:cs="宋体"/>
                <w:color w:val="000000"/>
                <w:sz w:val="32"/>
                <w:szCs w:val="32"/>
              </w:rPr>
              <w:t>一般公共预算财政拨款“三公”经费支出决算表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pPr>
              <w:rPr>
                <w:rFonts w:hint="default"/>
              </w:rPr>
            </w:pPr>
            <w:r>
              <w:rPr>
                <w:rFonts w:cs="宋体"/>
              </w:rPr>
              <w:t> </w:t>
            </w:r>
          </w:p>
        </w:tc>
        <w:tc>
          <w:tcPr>
            <w:tcW w:w="780" w:type="dxa"/>
            <w:tcBorders>
              <w:top w:val="nil"/>
              <w:left w:val="nil"/>
              <w:bottom w:val="nil"/>
              <w:right w:val="nil"/>
            </w:tcBorders>
            <w:shd w:val="clear" w:color="auto" w:fill="auto"/>
            <w:noWrap/>
            <w:vAlign w:val="center"/>
          </w:tcPr>
          <w:p>
            <w:pPr>
              <w:rPr>
                <w:rFonts w:hint="default"/>
              </w:rPr>
            </w:pPr>
            <w:r>
              <w:rPr>
                <w:rFonts w:cs="宋体"/>
              </w:rPr>
              <w:t> </w:t>
            </w:r>
          </w:p>
        </w:tc>
        <w:tc>
          <w:tcPr>
            <w:tcW w:w="3415" w:type="dxa"/>
            <w:tcBorders>
              <w:top w:val="nil"/>
              <w:left w:val="nil"/>
              <w:bottom w:val="nil"/>
              <w:right w:val="nil"/>
            </w:tcBorders>
            <w:shd w:val="clear" w:color="auto" w:fill="auto"/>
            <w:noWrap/>
            <w:vAlign w:val="bottom"/>
          </w:tcPr>
          <w:p>
            <w:pPr>
              <w:spacing w:beforeAutospacing="1" w:afterAutospacing="1"/>
              <w:jc w:val="right"/>
              <w:rPr>
                <w:rFonts w:hint="default"/>
                <w:sz w:val="20"/>
                <w:szCs w:val="20"/>
              </w:rPr>
            </w:pPr>
            <w:r>
              <w:rPr>
                <w:rFonts w:cs="宋体"/>
                <w:sz w:val="20"/>
                <w:szCs w:val="20"/>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single" w:color="auto" w:sz="4" w:space="0"/>
              <w:right w:val="nil"/>
            </w:tcBorders>
            <w:shd w:val="clear" w:color="auto" w:fill="auto"/>
            <w:noWrap/>
            <w:vAlign w:val="center"/>
          </w:tcPr>
          <w:p>
            <w:pPr>
              <w:spacing w:beforeAutospacing="1" w:afterAutospacing="1"/>
              <w:rPr>
                <w:rFonts w:hint="default"/>
                <w:color w:val="000000"/>
                <w:sz w:val="22"/>
                <w:szCs w:val="22"/>
              </w:rPr>
            </w:pPr>
            <w:r>
              <w:rPr>
                <w:rFonts w:cs="宋体"/>
                <w:sz w:val="20"/>
                <w:szCs w:val="20"/>
              </w:rPr>
              <w:t>单位</w:t>
            </w:r>
            <w:r>
              <w:rPr>
                <w:rFonts w:cs="宋体"/>
                <w:color w:val="000000"/>
                <w:sz w:val="20"/>
                <w:szCs w:val="20"/>
              </w:rPr>
              <w:t>：福州市建筑垃圾工程渣土处置中心</w:t>
            </w:r>
          </w:p>
        </w:tc>
        <w:tc>
          <w:tcPr>
            <w:tcW w:w="780" w:type="dxa"/>
            <w:tcBorders>
              <w:top w:val="nil"/>
              <w:left w:val="nil"/>
              <w:bottom w:val="single" w:color="auto" w:sz="4" w:space="0"/>
              <w:right w:val="nil"/>
            </w:tcBorders>
            <w:shd w:val="clear" w:color="auto" w:fill="auto"/>
            <w:noWrap/>
            <w:vAlign w:val="center"/>
          </w:tcPr>
          <w:p>
            <w:pPr>
              <w:rPr>
                <w:rFonts w:hint="default"/>
              </w:rPr>
            </w:pPr>
            <w:r>
              <w:rPr>
                <w:rFonts w:cs="宋体"/>
              </w:rPr>
              <w:t> </w:t>
            </w:r>
          </w:p>
        </w:tc>
        <w:tc>
          <w:tcPr>
            <w:tcW w:w="3415" w:type="dxa"/>
            <w:tcBorders>
              <w:top w:val="nil"/>
              <w:left w:val="nil"/>
              <w:bottom w:val="single" w:color="auto" w:sz="4" w:space="0"/>
              <w:right w:val="nil"/>
            </w:tcBorders>
            <w:shd w:val="clear" w:color="auto" w:fill="auto"/>
            <w:noWrap/>
            <w:vAlign w:val="center"/>
          </w:tcPr>
          <w:p>
            <w:pPr>
              <w:spacing w:beforeAutospacing="1" w:afterAutospacing="1"/>
              <w:jc w:val="right"/>
              <w:rPr>
                <w:rFonts w:hint="default"/>
                <w:color w:val="000000"/>
                <w:sz w:val="22"/>
                <w:szCs w:val="22"/>
              </w:rPr>
            </w:pPr>
            <w:r>
              <w:rPr>
                <w:rFonts w:cs="宋体"/>
                <w:sz w:val="20"/>
                <w:szCs w:val="20"/>
              </w:rPr>
              <w:t>单位：万元</w:t>
            </w:r>
          </w:p>
        </w:tc>
      </w:tr>
      <w:tr>
        <w:trPr>
          <w:trHeight w:val="43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项目</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行次</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决算数</w:t>
            </w:r>
          </w:p>
        </w:tc>
      </w:tr>
      <w:tr>
        <w:tblPrEx>
          <w:tblCellMar>
            <w:top w:w="0" w:type="dxa"/>
            <w:left w:w="108" w:type="dxa"/>
            <w:bottom w:w="0" w:type="dxa"/>
            <w:right w:w="108" w:type="dxa"/>
          </w:tblCellMar>
        </w:tblPrEx>
        <w:trPr>
          <w:trHeight w:val="34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合计</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1</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0.79</w:t>
            </w:r>
            <w:r>
              <w:rPr>
                <w:rFonts w:cs="宋体"/>
                <w:color w:val="000000"/>
                <w:sz w:val="20"/>
                <w:szCs w:val="20"/>
              </w:rPr>
              <w:t>　</w:t>
            </w:r>
          </w:p>
        </w:tc>
      </w:tr>
      <w:tr>
        <w:tblPrEx>
          <w:tblCellMar>
            <w:top w:w="0" w:type="dxa"/>
            <w:left w:w="108" w:type="dxa"/>
            <w:bottom w:w="0" w:type="dxa"/>
            <w:right w:w="108" w:type="dxa"/>
          </w:tblCellMar>
        </w:tblPrEx>
        <w:trPr>
          <w:trHeight w:val="4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47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2. 公务用车购置及运行维护费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3</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0.79</w:t>
            </w:r>
            <w:r>
              <w:rPr>
                <w:rFonts w:cs="宋体"/>
                <w:color w:val="000000"/>
                <w:sz w:val="20"/>
                <w:szCs w:val="20"/>
              </w:rPr>
              <w:t>　</w:t>
            </w:r>
          </w:p>
        </w:tc>
      </w:tr>
      <w:tr>
        <w:tblPrEx>
          <w:tblCellMar>
            <w:top w:w="0" w:type="dxa"/>
            <w:left w:w="108" w:type="dxa"/>
            <w:bottom w:w="0" w:type="dxa"/>
            <w:right w:w="108" w:type="dxa"/>
          </w:tblCellMar>
        </w:tblPrEx>
        <w:trPr>
          <w:trHeight w:val="400"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460"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（2）公务用车运行维护费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5</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hint="default" w:cs="宋体"/>
                <w:color w:val="000000"/>
                <w:sz w:val="20"/>
                <w:szCs w:val="20"/>
              </w:rPr>
              <w:t>0.79</w:t>
            </w:r>
          </w:p>
        </w:tc>
      </w:tr>
      <w:tr>
        <w:tblPrEx>
          <w:tblCellMar>
            <w:top w:w="0" w:type="dxa"/>
            <w:left w:w="108" w:type="dxa"/>
            <w:bottom w:w="0" w:type="dxa"/>
            <w:right w:w="108" w:type="dxa"/>
          </w:tblCellMar>
        </w:tblPrEx>
        <w:trPr>
          <w:trHeight w:val="46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3. 公务接待费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6</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spacing w:beforeAutospacing="1" w:afterAutospacing="1"/>
              <w:rPr>
                <w:rFonts w:hint="default"/>
              </w:rPr>
            </w:pPr>
            <w:r>
              <w:rPr>
                <w:rFonts w:cs="宋体"/>
              </w:rPr>
              <w:t>注：本表反映单位本年度“三公”经费支出决算情况，包括当年一般公共预算财政拨款和以前年度结转资金安排的实际支出。</w:t>
            </w:r>
          </w:p>
        </w:tc>
      </w:tr>
    </w:tbl>
    <w:p>
      <w:pPr>
        <w:pStyle w:val="22"/>
        <w:rPr>
          <w:rFonts w:hint="default" w:cs="宋体"/>
        </w:rPr>
      </w:pPr>
      <w:r>
        <w:rPr>
          <w:rFonts w:cs="宋体"/>
        </w:rPr>
        <w:t xml:space="preserve"> </w:t>
      </w:r>
    </w:p>
    <w:p>
      <w:pPr>
        <w:pStyle w:val="3"/>
        <w:rPr>
          <w:rFonts w:hint="default" w:cs="宋体"/>
        </w:rPr>
      </w:pPr>
      <w:bookmarkStart w:id="85" w:name="_Toc10055"/>
      <w:bookmarkEnd w:id="85"/>
      <w:bookmarkStart w:id="86" w:name="_Toc31891"/>
      <w:bookmarkStart w:id="87" w:name="_Toc31110"/>
      <w:bookmarkStart w:id="88" w:name="_Toc6530"/>
      <w:bookmarkStart w:id="89" w:name="_Toc21540"/>
      <w:bookmarkStart w:id="90" w:name="_Toc21570"/>
      <w:bookmarkStart w:id="91" w:name="_Toc16264"/>
      <w:r>
        <w:rPr>
          <w:rFonts w:cs="宋体"/>
        </w:rPr>
        <w:t>八、政府性基金预算财政拨款收入支出决算表</w:t>
      </w:r>
      <w:bookmarkEnd w:id="86"/>
      <w:bookmarkEnd w:id="87"/>
      <w:bookmarkEnd w:id="88"/>
      <w:bookmarkEnd w:id="89"/>
      <w:bookmarkEnd w:id="90"/>
      <w:bookmarkEnd w:id="91"/>
      <w:r>
        <w:rPr>
          <w:rFonts w:cs="宋体"/>
        </w:rPr>
        <w:t xml:space="preserve"> </w:t>
      </w:r>
    </w:p>
    <w:tbl>
      <w:tblPr>
        <w:tblStyle w:val="16"/>
        <w:tblW w:w="8261" w:type="dxa"/>
        <w:tblInd w:w="93" w:type="dxa"/>
        <w:tblLayout w:type="fixed"/>
        <w:tblCellMar>
          <w:top w:w="0" w:type="dxa"/>
          <w:left w:w="108" w:type="dxa"/>
          <w:bottom w:w="0" w:type="dxa"/>
          <w:right w:w="108" w:type="dxa"/>
        </w:tblCellMar>
      </w:tblPr>
      <w:tblGrid>
        <w:gridCol w:w="436"/>
        <w:gridCol w:w="436"/>
        <w:gridCol w:w="436"/>
        <w:gridCol w:w="863"/>
        <w:gridCol w:w="1125"/>
        <w:gridCol w:w="840"/>
        <w:gridCol w:w="448"/>
        <w:gridCol w:w="317"/>
        <w:gridCol w:w="765"/>
        <w:gridCol w:w="810"/>
        <w:gridCol w:w="1785"/>
      </w:tblGrid>
      <w:tr>
        <w:tblPrEx>
          <w:tblCellMar>
            <w:top w:w="0" w:type="dxa"/>
            <w:left w:w="108" w:type="dxa"/>
            <w:bottom w:w="0" w:type="dxa"/>
            <w:right w:w="108" w:type="dxa"/>
          </w:tblCellMar>
        </w:tblPrEx>
        <w:trPr>
          <w:trHeight w:val="495" w:hRule="atLeast"/>
        </w:trPr>
        <w:tc>
          <w:tcPr>
            <w:tcW w:w="8261" w:type="dxa"/>
            <w:gridSpan w:val="11"/>
            <w:tcBorders>
              <w:top w:val="nil"/>
              <w:left w:val="nil"/>
              <w:bottom w:val="nil"/>
              <w:right w:val="nil"/>
            </w:tcBorders>
            <w:shd w:val="clear" w:color="auto" w:fill="auto"/>
            <w:noWrap/>
            <w:vAlign w:val="center"/>
          </w:tcPr>
          <w:p>
            <w:pPr>
              <w:spacing w:beforeAutospacing="1" w:afterAutospacing="1"/>
              <w:jc w:val="center"/>
              <w:rPr>
                <w:rFonts w:hint="default"/>
                <w:color w:val="000000"/>
                <w:sz w:val="44"/>
                <w:szCs w:val="44"/>
              </w:rPr>
            </w:pPr>
            <w:r>
              <w:rPr>
                <w:rFonts w:cs="宋体"/>
                <w:color w:val="000000"/>
                <w:sz w:val="32"/>
                <w:szCs w:val="32"/>
              </w:rPr>
              <w:t>政府性基金预算财政拨款收入支出决算表</w:t>
            </w:r>
          </w:p>
        </w:tc>
      </w:tr>
      <w:tr>
        <w:tblPrEx>
          <w:tblCellMar>
            <w:top w:w="0" w:type="dxa"/>
            <w:left w:w="108" w:type="dxa"/>
            <w:bottom w:w="0" w:type="dxa"/>
            <w:right w:w="108" w:type="dxa"/>
          </w:tblCellMar>
        </w:tblPrEx>
        <w:trPr>
          <w:trHeight w:val="300" w:hRule="atLeast"/>
        </w:trPr>
        <w:tc>
          <w:tcPr>
            <w:tcW w:w="8261" w:type="dxa"/>
            <w:gridSpan w:val="11"/>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公开08表</w:t>
            </w:r>
          </w:p>
        </w:tc>
      </w:tr>
      <w:tr>
        <w:tblPrEx>
          <w:tblCellMar>
            <w:top w:w="0" w:type="dxa"/>
            <w:left w:w="108" w:type="dxa"/>
            <w:bottom w:w="0" w:type="dxa"/>
            <w:right w:w="108" w:type="dxa"/>
          </w:tblCellMar>
        </w:tblPrEx>
        <w:trPr>
          <w:trHeight w:val="420" w:hRule="atLeast"/>
        </w:trPr>
        <w:tc>
          <w:tcPr>
            <w:tcW w:w="4584" w:type="dxa"/>
            <w:gridSpan w:val="7"/>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单位：福州市建筑垃圾工程渣土处置中心</w:t>
            </w:r>
          </w:p>
        </w:tc>
        <w:tc>
          <w:tcPr>
            <w:tcW w:w="3677" w:type="dxa"/>
            <w:gridSpan w:val="4"/>
            <w:tcBorders>
              <w:top w:val="nil"/>
              <w:left w:val="nil"/>
              <w:bottom w:val="nil"/>
              <w:right w:val="nil"/>
            </w:tcBorders>
            <w:shd w:val="clear" w:color="auto" w:fill="auto"/>
            <w:noWrap/>
            <w:vAlign w:val="bottom"/>
          </w:tcPr>
          <w:p>
            <w:pPr>
              <w:spacing w:beforeAutospacing="1" w:afterAutospacing="1"/>
              <w:jc w:val="right"/>
              <w:rPr>
                <w:rFonts w:hint="default"/>
                <w:color w:val="000000"/>
                <w:sz w:val="20"/>
                <w:szCs w:val="20"/>
              </w:rPr>
            </w:pPr>
            <w:r>
              <w:rPr>
                <w:rFonts w:cs="宋体"/>
                <w:color w:val="000000"/>
                <w:sz w:val="20"/>
                <w:szCs w:val="20"/>
              </w:rPr>
              <w:t>单位：万元</w:t>
            </w:r>
          </w:p>
        </w:tc>
      </w:tr>
      <w:tr>
        <w:tblPrEx>
          <w:tblCellMar>
            <w:top w:w="0" w:type="dxa"/>
            <w:left w:w="108" w:type="dxa"/>
            <w:bottom w:w="0" w:type="dxa"/>
            <w:right w:w="108" w:type="dxa"/>
          </w:tblCellMar>
        </w:tblPrEx>
        <w:trPr>
          <w:trHeight w:val="308" w:hRule="atLeast"/>
        </w:trPr>
        <w:tc>
          <w:tcPr>
            <w:tcW w:w="217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112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年初结转和结余</w:t>
            </w:r>
          </w:p>
        </w:tc>
        <w:tc>
          <w:tcPr>
            <w:tcW w:w="840" w:type="dxa"/>
            <w:vMerge w:val="restart"/>
            <w:tcBorders>
              <w:top w:val="single" w:color="000000" w:sz="8" w:space="0"/>
              <w:left w:val="nil"/>
              <w:bottom w:val="single" w:color="000000" w:sz="4"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本年收入</w:t>
            </w:r>
          </w:p>
        </w:tc>
        <w:tc>
          <w:tcPr>
            <w:tcW w:w="2340" w:type="dxa"/>
            <w:gridSpan w:val="4"/>
            <w:tcBorders>
              <w:top w:val="single" w:color="000000" w:sz="8" w:space="0"/>
              <w:left w:val="single" w:color="000000" w:sz="8" w:space="0"/>
              <w:bottom w:val="single" w:color="000000" w:sz="8"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本年支出</w:t>
            </w:r>
          </w:p>
        </w:tc>
        <w:tc>
          <w:tcPr>
            <w:tcW w:w="178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支出功能分类科目编码</w:t>
            </w:r>
          </w:p>
        </w:tc>
        <w:tc>
          <w:tcPr>
            <w:tcW w:w="863"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112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40" w:type="dxa"/>
            <w:vMerge w:val="continue"/>
            <w:tcBorders>
              <w:top w:val="single" w:color="000000" w:sz="8" w:space="0"/>
              <w:left w:val="nil"/>
              <w:bottom w:val="single" w:color="000000" w:sz="4" w:space="0"/>
              <w:right w:val="single" w:color="000000" w:sz="8" w:space="0"/>
            </w:tcBorders>
            <w:shd w:val="clear" w:color="auto" w:fill="auto"/>
            <w:vAlign w:val="center"/>
          </w:tcPr>
          <w:p>
            <w:pPr>
              <w:rPr>
                <w:rFonts w:hint="default" w:ascii="Times New Roman" w:hAnsi="Times New Roman"/>
                <w:sz w:val="20"/>
                <w:szCs w:val="20"/>
              </w:rPr>
            </w:pPr>
          </w:p>
        </w:tc>
        <w:tc>
          <w:tcPr>
            <w:tcW w:w="76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小计</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810"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c>
          <w:tcPr>
            <w:tcW w:w="17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63"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12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40" w:type="dxa"/>
            <w:vMerge w:val="continue"/>
            <w:tcBorders>
              <w:top w:val="single" w:color="000000" w:sz="8" w:space="0"/>
              <w:left w:val="nil"/>
              <w:bottom w:val="single" w:color="000000" w:sz="4" w:space="0"/>
              <w:right w:val="single" w:color="000000" w:sz="8" w:space="0"/>
            </w:tcBorders>
            <w:shd w:val="clear" w:color="auto" w:fill="auto"/>
            <w:vAlign w:val="center"/>
          </w:tcPr>
          <w:p>
            <w:pPr>
              <w:rPr>
                <w:rFonts w:hint="default" w:ascii="Times New Roman" w:hAnsi="Times New Roman"/>
                <w:sz w:val="20"/>
                <w:szCs w:val="20"/>
              </w:rPr>
            </w:pPr>
          </w:p>
        </w:tc>
        <w:tc>
          <w:tcPr>
            <w:tcW w:w="765"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765" w:type="dxa"/>
            <w:vMerge w:val="continue"/>
            <w:tcBorders>
              <w:top w:val="single" w:color="000000" w:sz="8" w:space="0"/>
              <w:left w:val="nil"/>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810" w:type="dxa"/>
            <w:vMerge w:val="continue"/>
            <w:tcBorders>
              <w:top w:val="single" w:color="000000" w:sz="8" w:space="0"/>
              <w:left w:val="nil"/>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17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w:t>
            </w:r>
          </w:p>
        </w:tc>
        <w:tc>
          <w:tcPr>
            <w:tcW w:w="863" w:type="dxa"/>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栏次</w:t>
            </w:r>
          </w:p>
        </w:tc>
        <w:tc>
          <w:tcPr>
            <w:tcW w:w="112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w:t>
            </w:r>
          </w:p>
        </w:tc>
        <w:tc>
          <w:tcPr>
            <w:tcW w:w="84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4</w:t>
            </w:r>
          </w:p>
        </w:tc>
        <w:tc>
          <w:tcPr>
            <w:tcW w:w="765" w:type="dxa"/>
            <w:gridSpan w:val="2"/>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7</w:t>
            </w:r>
          </w:p>
        </w:tc>
        <w:tc>
          <w:tcPr>
            <w:tcW w:w="765" w:type="dxa"/>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8</w:t>
            </w:r>
          </w:p>
        </w:tc>
        <w:tc>
          <w:tcPr>
            <w:tcW w:w="810" w:type="dxa"/>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11</w:t>
            </w:r>
          </w:p>
        </w:tc>
        <w:tc>
          <w:tcPr>
            <w:tcW w:w="178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12</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43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43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63" w:type="dxa"/>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112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c>
          <w:tcPr>
            <w:tcW w:w="84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c>
          <w:tcPr>
            <w:tcW w:w="765" w:type="dxa"/>
            <w:gridSpan w:val="2"/>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c>
          <w:tcPr>
            <w:tcW w:w="76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c>
          <w:tcPr>
            <w:tcW w:w="81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c>
          <w:tcPr>
            <w:tcW w:w="178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p>
        </w:tc>
      </w:tr>
    </w:tbl>
    <w:p>
      <w:pPr>
        <w:spacing w:beforeAutospacing="1" w:afterAutospacing="1"/>
        <w:rPr>
          <w:rFonts w:hint="default" w:cs="宋体"/>
          <w:color w:val="000000"/>
        </w:rPr>
      </w:pPr>
      <w:r>
        <w:rPr>
          <w:rFonts w:cs="宋体"/>
        </w:rPr>
        <w:t>注：</w:t>
      </w:r>
      <w:r>
        <w:rPr>
          <w:rFonts w:cs="宋体"/>
          <w:color w:val="000000"/>
        </w:rPr>
        <w:t>渣土处置中心202</w:t>
      </w:r>
      <w:r>
        <w:rPr>
          <w:rFonts w:hint="default" w:cs="宋体"/>
          <w:color w:val="000000"/>
        </w:rPr>
        <w:t>1</w:t>
      </w:r>
      <w:r>
        <w:rPr>
          <w:rFonts w:cs="宋体"/>
          <w:color w:val="000000"/>
        </w:rPr>
        <w:t>年度没有使用政府性基金预算拨款安排的收支。</w:t>
      </w:r>
    </w:p>
    <w:p>
      <w:pPr>
        <w:pStyle w:val="3"/>
        <w:rPr>
          <w:rFonts w:hint="default" w:cs="宋体"/>
        </w:rPr>
      </w:pPr>
      <w:bookmarkStart w:id="92" w:name="_Toc25288"/>
      <w:bookmarkEnd w:id="92"/>
      <w:bookmarkStart w:id="93" w:name="_Toc26007"/>
      <w:bookmarkStart w:id="94" w:name="_Toc17762"/>
      <w:bookmarkStart w:id="95" w:name="_Toc13624"/>
      <w:bookmarkStart w:id="96" w:name="_Toc14463"/>
      <w:bookmarkStart w:id="97" w:name="_Toc18557"/>
      <w:bookmarkStart w:id="98" w:name="_Toc20348"/>
      <w:r>
        <w:rPr>
          <w:rFonts w:cs="宋体"/>
        </w:rPr>
        <w:t>九、国有资本经营预算财政拨款支出决算表</w:t>
      </w:r>
      <w:bookmarkEnd w:id="93"/>
      <w:bookmarkEnd w:id="94"/>
      <w:bookmarkEnd w:id="95"/>
      <w:bookmarkEnd w:id="96"/>
      <w:bookmarkEnd w:id="97"/>
      <w:bookmarkEnd w:id="98"/>
    </w:p>
    <w:tbl>
      <w:tblPr>
        <w:tblStyle w:val="16"/>
        <w:tblW w:w="8304" w:type="dxa"/>
        <w:jc w:val="center"/>
        <w:tblLayout w:type="autofit"/>
        <w:tblCellMar>
          <w:top w:w="0" w:type="dxa"/>
          <w:left w:w="108" w:type="dxa"/>
          <w:bottom w:w="0" w:type="dxa"/>
          <w:right w:w="108" w:type="dxa"/>
        </w:tblCellMar>
      </w:tblPr>
      <w:tblGrid>
        <w:gridCol w:w="964"/>
        <w:gridCol w:w="1229"/>
        <w:gridCol w:w="1311"/>
        <w:gridCol w:w="736"/>
        <w:gridCol w:w="804"/>
        <w:gridCol w:w="1600"/>
        <w:gridCol w:w="1660"/>
      </w:tblGrid>
      <w:tr>
        <w:tblPrEx>
          <w:tblCellMar>
            <w:top w:w="0" w:type="dxa"/>
            <w:left w:w="108" w:type="dxa"/>
            <w:bottom w:w="0" w:type="dxa"/>
            <w:right w:w="108" w:type="dxa"/>
          </w:tblCellMar>
        </w:tblPrEx>
        <w:trPr>
          <w:trHeight w:val="660" w:hRule="atLeast"/>
          <w:jc w:val="center"/>
        </w:trPr>
        <w:tc>
          <w:tcPr>
            <w:tcW w:w="8304" w:type="dxa"/>
            <w:gridSpan w:val="7"/>
            <w:tcBorders>
              <w:top w:val="nil"/>
              <w:left w:val="nil"/>
              <w:bottom w:val="nil"/>
              <w:right w:val="nil"/>
            </w:tcBorders>
            <w:shd w:val="clear" w:color="auto" w:fill="auto"/>
            <w:vAlign w:val="center"/>
          </w:tcPr>
          <w:p>
            <w:pPr>
              <w:spacing w:beforeAutospacing="1" w:afterAutospacing="1"/>
              <w:jc w:val="center"/>
              <w:rPr>
                <w:rFonts w:hint="default"/>
                <w:sz w:val="32"/>
                <w:szCs w:val="32"/>
              </w:rPr>
            </w:pPr>
            <w:r>
              <w:rPr>
                <w:rFonts w:cs="宋体"/>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964" w:type="dxa"/>
            <w:tcBorders>
              <w:top w:val="nil"/>
              <w:left w:val="nil"/>
              <w:bottom w:val="nil"/>
              <w:right w:val="nil"/>
            </w:tcBorders>
            <w:shd w:val="clear" w:color="auto" w:fill="auto"/>
            <w:vAlign w:val="center"/>
          </w:tcPr>
          <w:p>
            <w:pPr>
              <w:spacing w:beforeAutospacing="1" w:afterAutospacing="1"/>
              <w:jc w:val="center"/>
              <w:rPr>
                <w:rFonts w:hint="default"/>
                <w:sz w:val="20"/>
                <w:szCs w:val="20"/>
              </w:rPr>
            </w:pPr>
            <w:r>
              <w:rPr>
                <w:rFonts w:cs="宋体"/>
                <w:sz w:val="20"/>
                <w:szCs w:val="20"/>
              </w:rPr>
              <w:t>　</w:t>
            </w:r>
          </w:p>
        </w:tc>
        <w:tc>
          <w:tcPr>
            <w:tcW w:w="1229" w:type="dxa"/>
            <w:tcBorders>
              <w:top w:val="nil"/>
              <w:left w:val="nil"/>
              <w:bottom w:val="nil"/>
              <w:right w:val="nil"/>
            </w:tcBorders>
            <w:shd w:val="clear" w:color="auto" w:fill="auto"/>
            <w:vAlign w:val="center"/>
          </w:tcPr>
          <w:p>
            <w:pPr>
              <w:spacing w:beforeAutospacing="1" w:afterAutospacing="1"/>
              <w:jc w:val="center"/>
              <w:rPr>
                <w:rFonts w:hint="default"/>
                <w:sz w:val="20"/>
                <w:szCs w:val="20"/>
              </w:rPr>
            </w:pPr>
            <w:r>
              <w:rPr>
                <w:rFonts w:cs="宋体"/>
                <w:sz w:val="20"/>
                <w:szCs w:val="20"/>
              </w:rPr>
              <w:t>　</w:t>
            </w:r>
          </w:p>
        </w:tc>
        <w:tc>
          <w:tcPr>
            <w:tcW w:w="1311" w:type="dxa"/>
            <w:tcBorders>
              <w:top w:val="nil"/>
              <w:left w:val="nil"/>
              <w:bottom w:val="nil"/>
              <w:right w:val="nil"/>
            </w:tcBorders>
            <w:shd w:val="clear" w:color="auto" w:fill="auto"/>
            <w:vAlign w:val="center"/>
          </w:tcPr>
          <w:p>
            <w:pPr>
              <w:spacing w:beforeAutospacing="1" w:afterAutospacing="1"/>
              <w:jc w:val="center"/>
              <w:rPr>
                <w:rFonts w:hint="default"/>
                <w:sz w:val="20"/>
                <w:szCs w:val="20"/>
              </w:rPr>
            </w:pPr>
            <w:r>
              <w:rPr>
                <w:rFonts w:cs="宋体"/>
                <w:sz w:val="20"/>
                <w:szCs w:val="20"/>
              </w:rPr>
              <w:t>　</w:t>
            </w:r>
          </w:p>
        </w:tc>
        <w:tc>
          <w:tcPr>
            <w:tcW w:w="1540" w:type="dxa"/>
            <w:gridSpan w:val="2"/>
            <w:tcBorders>
              <w:top w:val="nil"/>
              <w:left w:val="nil"/>
              <w:bottom w:val="nil"/>
              <w:right w:val="nil"/>
            </w:tcBorders>
            <w:shd w:val="clear" w:color="auto" w:fill="auto"/>
            <w:vAlign w:val="center"/>
          </w:tcPr>
          <w:p>
            <w:pPr>
              <w:spacing w:beforeAutospacing="1" w:afterAutospacing="1"/>
              <w:rPr>
                <w:rFonts w:hint="default"/>
                <w:sz w:val="20"/>
                <w:szCs w:val="20"/>
              </w:rPr>
            </w:pPr>
            <w:r>
              <w:rPr>
                <w:rFonts w:cs="宋体"/>
                <w:sz w:val="20"/>
                <w:szCs w:val="20"/>
              </w:rPr>
              <w:t>　</w:t>
            </w:r>
          </w:p>
        </w:tc>
        <w:tc>
          <w:tcPr>
            <w:tcW w:w="1600" w:type="dxa"/>
            <w:tcBorders>
              <w:top w:val="nil"/>
              <w:left w:val="nil"/>
              <w:bottom w:val="nil"/>
              <w:right w:val="nil"/>
            </w:tcBorders>
            <w:shd w:val="clear" w:color="auto" w:fill="auto"/>
            <w:vAlign w:val="center"/>
          </w:tcPr>
          <w:p>
            <w:pPr>
              <w:spacing w:beforeAutospacing="1" w:afterAutospacing="1"/>
              <w:rPr>
                <w:rFonts w:hint="default"/>
                <w:sz w:val="20"/>
                <w:szCs w:val="20"/>
              </w:rPr>
            </w:pPr>
            <w:r>
              <w:rPr>
                <w:rFonts w:cs="宋体"/>
                <w:sz w:val="20"/>
                <w:szCs w:val="20"/>
              </w:rPr>
              <w:t>　</w:t>
            </w:r>
          </w:p>
        </w:tc>
        <w:tc>
          <w:tcPr>
            <w:tcW w:w="1660" w:type="dxa"/>
            <w:tcBorders>
              <w:top w:val="nil"/>
              <w:left w:val="nil"/>
              <w:bottom w:val="nil"/>
              <w:right w:val="nil"/>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公开09表</w:t>
            </w:r>
          </w:p>
        </w:tc>
      </w:tr>
      <w:tr>
        <w:tblPrEx>
          <w:tblCellMar>
            <w:top w:w="0" w:type="dxa"/>
            <w:left w:w="108" w:type="dxa"/>
            <w:bottom w:w="0" w:type="dxa"/>
            <w:right w:w="108" w:type="dxa"/>
          </w:tblCellMar>
        </w:tblPrEx>
        <w:trPr>
          <w:trHeight w:val="285" w:hRule="atLeast"/>
          <w:jc w:val="center"/>
        </w:trPr>
        <w:tc>
          <w:tcPr>
            <w:tcW w:w="4240" w:type="dxa"/>
            <w:gridSpan w:val="4"/>
            <w:tcBorders>
              <w:top w:val="nil"/>
              <w:left w:val="nil"/>
              <w:bottom w:val="nil"/>
              <w:right w:val="nil"/>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单位：福州市建筑垃圾工程渣土处置中心</w:t>
            </w:r>
          </w:p>
        </w:tc>
        <w:tc>
          <w:tcPr>
            <w:tcW w:w="4064" w:type="dxa"/>
            <w:gridSpan w:val="3"/>
            <w:tcBorders>
              <w:top w:val="nil"/>
              <w:left w:val="nil"/>
              <w:bottom w:val="nil"/>
              <w:right w:val="nil"/>
            </w:tcBorders>
            <w:shd w:val="clear" w:color="auto" w:fill="auto"/>
            <w:noWrap/>
            <w:vAlign w:val="center"/>
          </w:tcPr>
          <w:p>
            <w:pPr>
              <w:spacing w:beforeAutospacing="1" w:afterAutospacing="1"/>
              <w:jc w:val="right"/>
              <w:rPr>
                <w:rFonts w:hint="default" w:cs="宋体"/>
                <w:color w:val="000000"/>
                <w:sz w:val="20"/>
                <w:szCs w:val="20"/>
              </w:rPr>
            </w:pPr>
            <w:r>
              <w:rPr>
                <w:rFonts w:cs="宋体"/>
                <w:color w:val="000000"/>
                <w:sz w:val="20"/>
                <w:szCs w:val="20"/>
              </w:rPr>
              <w:t>单位：万元</w:t>
            </w: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 xml:space="preserve">项 </w:t>
            </w:r>
            <w:r>
              <w:rPr>
                <w:rFonts w:cs="宋体"/>
                <w:color w:val="000000"/>
                <w:sz w:val="22"/>
                <w:szCs w:val="22"/>
              </w:rPr>
              <w:t xml:space="preserve">   </w:t>
            </w:r>
            <w:r>
              <w:rPr>
                <w:rFonts w:cs="宋体"/>
                <w:sz w:val="22"/>
                <w:szCs w:val="22"/>
              </w:rPr>
              <w:t>目</w:t>
            </w:r>
          </w:p>
        </w:tc>
        <w:tc>
          <w:tcPr>
            <w:tcW w:w="4800" w:type="dxa"/>
            <w:gridSpan w:val="4"/>
            <w:tcBorders>
              <w:top w:val="single" w:color="auto" w:sz="8" w:space="0"/>
              <w:left w:val="nil"/>
              <w:bottom w:val="single" w:color="auto" w:sz="4" w:space="0"/>
              <w:right w:val="single" w:color="000000"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本年支出</w:t>
            </w:r>
          </w:p>
        </w:tc>
      </w:tr>
      <w:tr>
        <w:tblPrEx>
          <w:tblCellMar>
            <w:top w:w="0" w:type="dxa"/>
            <w:left w:w="108" w:type="dxa"/>
            <w:bottom w:w="0" w:type="dxa"/>
            <w:right w:w="108" w:type="dxa"/>
          </w:tblCellMar>
        </w:tblPrEx>
        <w:trPr>
          <w:trHeight w:val="402" w:hRule="atLeast"/>
          <w:jc w:val="center"/>
        </w:trPr>
        <w:tc>
          <w:tcPr>
            <w:tcW w:w="2193" w:type="dxa"/>
            <w:gridSpan w:val="2"/>
            <w:vMerge w:val="restart"/>
            <w:tcBorders>
              <w:top w:val="nil"/>
              <w:left w:val="single" w:color="auto" w:sz="8" w:space="0"/>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功能分类科目编码</w:t>
            </w:r>
          </w:p>
        </w:tc>
        <w:tc>
          <w:tcPr>
            <w:tcW w:w="1311"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科目名称</w:t>
            </w:r>
          </w:p>
        </w:tc>
        <w:tc>
          <w:tcPr>
            <w:tcW w:w="1540" w:type="dxa"/>
            <w:gridSpan w:val="2"/>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合计</w:t>
            </w:r>
          </w:p>
        </w:tc>
        <w:tc>
          <w:tcPr>
            <w:tcW w:w="160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 xml:space="preserve">基本支出  </w:t>
            </w:r>
          </w:p>
        </w:tc>
        <w:tc>
          <w:tcPr>
            <w:tcW w:w="166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项目支出</w:t>
            </w:r>
          </w:p>
        </w:tc>
      </w:tr>
      <w:tr>
        <w:tblPrEx>
          <w:tblCellMar>
            <w:top w:w="0" w:type="dxa"/>
            <w:left w:w="108" w:type="dxa"/>
            <w:bottom w:w="0" w:type="dxa"/>
            <w:right w:w="108" w:type="dxa"/>
          </w:tblCellMar>
        </w:tblPrEx>
        <w:trPr>
          <w:trHeight w:val="402" w:hRule="atLeast"/>
          <w:jc w:val="center"/>
        </w:trPr>
        <w:tc>
          <w:tcPr>
            <w:tcW w:w="2193" w:type="dxa"/>
            <w:gridSpan w:val="2"/>
            <w:vMerge w:val="continue"/>
            <w:tcBorders>
              <w:top w:val="nil"/>
              <w:left w:val="single" w:color="auto" w:sz="8" w:space="0"/>
              <w:bottom w:val="single" w:color="auto" w:sz="4" w:space="0"/>
              <w:right w:val="single" w:color="auto" w:sz="4" w:space="0"/>
            </w:tcBorders>
            <w:shd w:val="clear" w:color="auto" w:fill="auto"/>
            <w:vAlign w:val="center"/>
          </w:tcPr>
          <w:p>
            <w:pPr>
              <w:rPr>
                <w:rFonts w:hint="default" w:cs="宋体"/>
                <w:sz w:val="22"/>
                <w:szCs w:val="22"/>
              </w:rPr>
            </w:pPr>
          </w:p>
        </w:tc>
        <w:tc>
          <w:tcPr>
            <w:tcW w:w="1311"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540" w:type="dxa"/>
            <w:gridSpan w:val="2"/>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600"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660"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402" w:hRule="atLeast"/>
          <w:jc w:val="center"/>
        </w:trPr>
        <w:tc>
          <w:tcPr>
            <w:tcW w:w="2193" w:type="dxa"/>
            <w:gridSpan w:val="2"/>
            <w:vMerge w:val="continue"/>
            <w:tcBorders>
              <w:top w:val="nil"/>
              <w:left w:val="single" w:color="auto" w:sz="8" w:space="0"/>
              <w:bottom w:val="single" w:color="auto" w:sz="4" w:space="0"/>
              <w:right w:val="single" w:color="auto" w:sz="4" w:space="0"/>
            </w:tcBorders>
            <w:shd w:val="clear" w:color="auto" w:fill="auto"/>
            <w:vAlign w:val="center"/>
          </w:tcPr>
          <w:p>
            <w:pPr>
              <w:rPr>
                <w:rFonts w:hint="default" w:cs="宋体"/>
                <w:sz w:val="22"/>
                <w:szCs w:val="22"/>
              </w:rPr>
            </w:pPr>
          </w:p>
        </w:tc>
        <w:tc>
          <w:tcPr>
            <w:tcW w:w="1311"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540" w:type="dxa"/>
            <w:gridSpan w:val="2"/>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600"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c>
          <w:tcPr>
            <w:tcW w:w="1660" w:type="dxa"/>
            <w:vMerge w:val="continue"/>
            <w:tcBorders>
              <w:top w:val="nil"/>
              <w:left w:val="nil"/>
              <w:bottom w:val="single" w:color="auto" w:sz="4" w:space="0"/>
              <w:right w:val="single" w:color="auto"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栏次</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1</w:t>
            </w:r>
          </w:p>
        </w:tc>
        <w:tc>
          <w:tcPr>
            <w:tcW w:w="160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2</w:t>
            </w:r>
          </w:p>
        </w:tc>
        <w:tc>
          <w:tcPr>
            <w:tcW w:w="16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3</w:t>
            </w: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r>
              <w:rPr>
                <w:rFonts w:cs="宋体"/>
                <w:sz w:val="22"/>
                <w:szCs w:val="22"/>
              </w:rPr>
              <w:t>合计</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p>
        </w:tc>
        <w:tc>
          <w:tcPr>
            <w:tcW w:w="160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p>
        </w:tc>
        <w:tc>
          <w:tcPr>
            <w:tcW w:w="16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s="宋体"/>
                <w:sz w:val="22"/>
                <w:szCs w:val="22"/>
              </w:rPr>
            </w:pPr>
          </w:p>
        </w:tc>
      </w:tr>
      <w:tr>
        <w:tblPrEx>
          <w:tblCellMar>
            <w:top w:w="0" w:type="dxa"/>
            <w:left w:w="108" w:type="dxa"/>
            <w:bottom w:w="0" w:type="dxa"/>
            <w:right w:w="108" w:type="dxa"/>
          </w:tblCellMar>
        </w:tblPrEx>
        <w:trPr>
          <w:trHeight w:val="720" w:hRule="atLeast"/>
          <w:jc w:val="center"/>
        </w:trPr>
        <w:tc>
          <w:tcPr>
            <w:tcW w:w="8304" w:type="dxa"/>
            <w:gridSpan w:val="7"/>
            <w:tcBorders>
              <w:top w:val="single" w:color="auto" w:sz="8" w:space="0"/>
              <w:left w:val="nil"/>
              <w:bottom w:val="nil"/>
              <w:right w:val="nil"/>
            </w:tcBorders>
            <w:shd w:val="clear" w:color="auto" w:fill="auto"/>
            <w:vAlign w:val="center"/>
          </w:tcPr>
          <w:p>
            <w:pPr>
              <w:spacing w:beforeAutospacing="1" w:afterAutospacing="1"/>
              <w:rPr>
                <w:rFonts w:hint="default"/>
              </w:rPr>
            </w:pPr>
            <w:r>
              <w:rPr>
                <w:rFonts w:cs="宋体"/>
              </w:rPr>
              <w:t>注：</w:t>
            </w:r>
            <w:r>
              <w:rPr>
                <w:rFonts w:cs="宋体"/>
                <w:color w:val="000000"/>
              </w:rPr>
              <w:t>渣土处置中心202</w:t>
            </w:r>
            <w:r>
              <w:rPr>
                <w:rFonts w:hint="default" w:cs="宋体"/>
                <w:color w:val="000000"/>
              </w:rPr>
              <w:t>1</w:t>
            </w:r>
            <w:r>
              <w:rPr>
                <w:rFonts w:cs="宋体"/>
                <w:color w:val="000000"/>
              </w:rPr>
              <w:t>年度没有使用国有资本经营预算财政拨款安排的支出。</w:t>
            </w:r>
          </w:p>
        </w:tc>
      </w:tr>
    </w:tbl>
    <w:p>
      <w:pPr>
        <w:spacing w:beforeAutospacing="1" w:afterAutospacing="1" w:line="600" w:lineRule="exact"/>
        <w:jc w:val="center"/>
        <w:rPr>
          <w:rFonts w:hint="default" w:cs="宋体"/>
          <w:sz w:val="36"/>
          <w:szCs w:val="36"/>
        </w:rPr>
      </w:pPr>
      <w:r>
        <w:rPr>
          <w:rFonts w:cs="宋体"/>
          <w:sz w:val="36"/>
          <w:szCs w:val="36"/>
        </w:rPr>
        <w:t xml:space="preserve"> </w:t>
      </w:r>
    </w:p>
    <w:p>
      <w:pPr>
        <w:spacing w:beforeAutospacing="1" w:afterAutospacing="1" w:line="600" w:lineRule="exact"/>
        <w:jc w:val="center"/>
        <w:rPr>
          <w:rFonts w:hint="default" w:cs="宋体"/>
          <w:sz w:val="36"/>
          <w:szCs w:val="36"/>
        </w:rPr>
      </w:pPr>
      <w:r>
        <w:rPr>
          <w:rFonts w:cs="宋体"/>
          <w:sz w:val="36"/>
          <w:szCs w:val="36"/>
        </w:rPr>
        <w:t xml:space="preserve"> </w:t>
      </w:r>
    </w:p>
    <w:p>
      <w:pPr>
        <w:spacing w:beforeAutospacing="1" w:afterAutospacing="1" w:line="600" w:lineRule="exact"/>
        <w:jc w:val="center"/>
        <w:rPr>
          <w:rFonts w:hint="default" w:cs="宋体"/>
          <w:sz w:val="36"/>
          <w:szCs w:val="36"/>
        </w:rPr>
      </w:pPr>
      <w:r>
        <w:rPr>
          <w:rFonts w:cs="宋体"/>
          <w:sz w:val="36"/>
          <w:szCs w:val="36"/>
        </w:rPr>
        <w:t xml:space="preserve"> </w:t>
      </w:r>
    </w:p>
    <w:p>
      <w:pPr>
        <w:pStyle w:val="2"/>
        <w:rPr>
          <w:rFonts w:hint="default" w:cs="宋体"/>
        </w:rPr>
      </w:pPr>
      <w:bookmarkStart w:id="99" w:name="_Toc10340"/>
      <w:bookmarkEnd w:id="99"/>
    </w:p>
    <w:p>
      <w:pPr>
        <w:pStyle w:val="2"/>
        <w:rPr>
          <w:rFonts w:hint="default" w:cs="宋体"/>
          <w:sz w:val="32"/>
          <w:szCs w:val="32"/>
        </w:rPr>
      </w:pPr>
      <w:bookmarkStart w:id="100" w:name="_Toc2396"/>
      <w:bookmarkStart w:id="101" w:name="_Toc11170"/>
      <w:bookmarkStart w:id="102" w:name="_Toc15776"/>
      <w:bookmarkStart w:id="103" w:name="_Toc7882"/>
      <w:bookmarkStart w:id="104" w:name="_Toc16257"/>
      <w:bookmarkStart w:id="105" w:name="_Toc32719"/>
      <w:r>
        <w:rPr>
          <w:rFonts w:cs="宋体"/>
        </w:rPr>
        <w:t>第三部分 202</w:t>
      </w:r>
      <w:r>
        <w:rPr>
          <w:rFonts w:hint="default" w:cs="宋体"/>
        </w:rPr>
        <w:t>1</w:t>
      </w:r>
      <w:r>
        <w:rPr>
          <w:rFonts w:cs="宋体"/>
        </w:rPr>
        <w:t>年度部门决算情况说明</w:t>
      </w:r>
      <w:bookmarkEnd w:id="100"/>
      <w:bookmarkEnd w:id="101"/>
      <w:bookmarkEnd w:id="102"/>
      <w:bookmarkEnd w:id="103"/>
      <w:bookmarkEnd w:id="104"/>
      <w:bookmarkEnd w:id="105"/>
    </w:p>
    <w:p>
      <w:pPr>
        <w:pStyle w:val="3"/>
        <w:rPr>
          <w:rFonts w:hint="default" w:cs="宋体"/>
        </w:rPr>
      </w:pPr>
      <w:bookmarkStart w:id="106" w:name="_Toc11044"/>
      <w:bookmarkEnd w:id="106"/>
      <w:bookmarkStart w:id="107" w:name="_Toc28157"/>
      <w:bookmarkStart w:id="108" w:name="_Toc8964"/>
      <w:bookmarkStart w:id="109" w:name="_Toc3375"/>
      <w:bookmarkStart w:id="110" w:name="_Toc26125"/>
      <w:bookmarkStart w:id="111" w:name="_Toc19122"/>
      <w:bookmarkStart w:id="112" w:name="_Toc17199"/>
      <w:r>
        <w:rPr>
          <w:rFonts w:cs="宋体"/>
        </w:rPr>
        <w:t>一、收入支出决算总体情况说明</w:t>
      </w:r>
      <w:bookmarkEnd w:id="107"/>
      <w:bookmarkEnd w:id="108"/>
      <w:bookmarkEnd w:id="109"/>
      <w:bookmarkEnd w:id="110"/>
      <w:bookmarkEnd w:id="111"/>
      <w:bookmarkEnd w:id="112"/>
    </w:p>
    <w:p>
      <w:pPr>
        <w:ind w:firstLine="560" w:firstLineChars="200"/>
        <w:rPr>
          <w:rFonts w:hint="default"/>
          <w:sz w:val="28"/>
          <w:szCs w:val="28"/>
        </w:rPr>
      </w:pPr>
      <w:r>
        <w:rPr>
          <w:sz w:val="28"/>
          <w:szCs w:val="28"/>
        </w:rPr>
        <w:t>202</w:t>
      </w:r>
      <w:r>
        <w:rPr>
          <w:rFonts w:hint="default"/>
          <w:sz w:val="28"/>
          <w:szCs w:val="28"/>
        </w:rPr>
        <w:t>1</w:t>
      </w:r>
      <w:r>
        <w:rPr>
          <w:sz w:val="28"/>
          <w:szCs w:val="28"/>
        </w:rPr>
        <w:t>年</w:t>
      </w:r>
      <w:r>
        <w:rPr>
          <w:rFonts w:cs="宋体"/>
          <w:color w:val="000000"/>
          <w:sz w:val="28"/>
          <w:szCs w:val="28"/>
        </w:rPr>
        <w:t>渣土处置中心</w:t>
      </w:r>
      <w:r>
        <w:rPr>
          <w:sz w:val="28"/>
          <w:szCs w:val="28"/>
        </w:rPr>
        <w:t>年初结转和结余8</w:t>
      </w:r>
      <w:r>
        <w:rPr>
          <w:rFonts w:hint="default"/>
          <w:sz w:val="28"/>
          <w:szCs w:val="28"/>
        </w:rPr>
        <w:t>0</w:t>
      </w:r>
      <w:r>
        <w:rPr>
          <w:sz w:val="28"/>
          <w:szCs w:val="28"/>
        </w:rPr>
        <w:t>.13万元，使用非财政拨款结余</w:t>
      </w:r>
      <w:r>
        <w:rPr>
          <w:rFonts w:hint="default"/>
          <w:sz w:val="28"/>
          <w:szCs w:val="28"/>
        </w:rPr>
        <w:t>0.00</w:t>
      </w:r>
      <w:r>
        <w:rPr>
          <w:sz w:val="28"/>
          <w:szCs w:val="28"/>
        </w:rPr>
        <w:t>万元，本年收入</w:t>
      </w:r>
      <w:r>
        <w:rPr>
          <w:rFonts w:hint="default"/>
          <w:sz w:val="28"/>
          <w:szCs w:val="28"/>
        </w:rPr>
        <w:t>697.2</w:t>
      </w:r>
      <w:r>
        <w:rPr>
          <w:sz w:val="28"/>
          <w:szCs w:val="28"/>
        </w:rPr>
        <w:t>万元，本年支出</w:t>
      </w:r>
      <w:r>
        <w:rPr>
          <w:rFonts w:hint="default"/>
          <w:sz w:val="28"/>
          <w:szCs w:val="28"/>
        </w:rPr>
        <w:t>777.33</w:t>
      </w:r>
      <w:r>
        <w:rPr>
          <w:sz w:val="28"/>
          <w:szCs w:val="28"/>
        </w:rPr>
        <w:t>万元，结余分配0.00万元，年末结转和结余</w:t>
      </w:r>
      <w:r>
        <w:rPr>
          <w:rFonts w:hint="default"/>
          <w:sz w:val="28"/>
          <w:szCs w:val="28"/>
        </w:rPr>
        <w:t>0.00</w:t>
      </w:r>
      <w:r>
        <w:rPr>
          <w:sz w:val="28"/>
          <w:szCs w:val="28"/>
        </w:rPr>
        <w:t>万元。</w:t>
      </w:r>
    </w:p>
    <w:p>
      <w:pPr>
        <w:ind w:firstLine="560" w:firstLineChars="200"/>
        <w:rPr>
          <w:rFonts w:hint="default"/>
          <w:sz w:val="28"/>
          <w:szCs w:val="28"/>
        </w:rPr>
      </w:pPr>
      <w:r>
        <w:rPr>
          <w:sz w:val="28"/>
          <w:szCs w:val="28"/>
        </w:rPr>
        <w:t>（一）202</w:t>
      </w:r>
      <w:r>
        <w:rPr>
          <w:rFonts w:hint="default"/>
          <w:sz w:val="28"/>
          <w:szCs w:val="28"/>
        </w:rPr>
        <w:t>1</w:t>
      </w:r>
      <w:r>
        <w:rPr>
          <w:sz w:val="28"/>
          <w:szCs w:val="28"/>
        </w:rPr>
        <w:t>年收入</w:t>
      </w:r>
      <w:r>
        <w:rPr>
          <w:rFonts w:hint="default"/>
          <w:sz w:val="28"/>
          <w:szCs w:val="28"/>
        </w:rPr>
        <w:t>697.2</w:t>
      </w:r>
      <w:r>
        <w:rPr>
          <w:sz w:val="28"/>
          <w:szCs w:val="28"/>
        </w:rPr>
        <w:t>万元，比上年决算数减少</w:t>
      </w:r>
      <w:r>
        <w:rPr>
          <w:rFonts w:hint="default"/>
          <w:sz w:val="28"/>
          <w:szCs w:val="28"/>
        </w:rPr>
        <w:t>63.74</w:t>
      </w:r>
      <w:r>
        <w:rPr>
          <w:sz w:val="28"/>
          <w:szCs w:val="28"/>
        </w:rPr>
        <w:t>万元，减少</w:t>
      </w:r>
      <w:r>
        <w:rPr>
          <w:rFonts w:hint="default"/>
          <w:sz w:val="28"/>
          <w:szCs w:val="28"/>
        </w:rPr>
        <w:t>8.38</w:t>
      </w:r>
      <w:r>
        <w:rPr>
          <w:sz w:val="28"/>
          <w:szCs w:val="28"/>
        </w:rPr>
        <w:t>％，具体情况如下：</w:t>
      </w:r>
    </w:p>
    <w:p>
      <w:pPr>
        <w:ind w:firstLine="560" w:firstLineChars="200"/>
        <w:rPr>
          <w:rFonts w:hint="default"/>
          <w:sz w:val="28"/>
          <w:szCs w:val="28"/>
        </w:rPr>
      </w:pPr>
      <w:r>
        <w:rPr>
          <w:sz w:val="28"/>
          <w:szCs w:val="28"/>
        </w:rPr>
        <w:t>1. 一般公共预算财政拨款收入</w:t>
      </w:r>
      <w:r>
        <w:rPr>
          <w:rFonts w:hint="default"/>
          <w:sz w:val="28"/>
          <w:szCs w:val="28"/>
        </w:rPr>
        <w:t>697</w:t>
      </w:r>
      <w:r>
        <w:rPr>
          <w:sz w:val="28"/>
          <w:szCs w:val="28"/>
        </w:rPr>
        <w:t>万元。</w:t>
      </w:r>
    </w:p>
    <w:p>
      <w:pPr>
        <w:ind w:firstLine="560" w:firstLineChars="200"/>
        <w:rPr>
          <w:rFonts w:hint="default"/>
          <w:sz w:val="28"/>
          <w:szCs w:val="28"/>
        </w:rPr>
      </w:pPr>
      <w:r>
        <w:rPr>
          <w:sz w:val="28"/>
          <w:szCs w:val="28"/>
        </w:rPr>
        <w:t>2. 政府性基金预算财政拨款收入0.00万元。</w:t>
      </w:r>
    </w:p>
    <w:p>
      <w:pPr>
        <w:ind w:firstLine="560" w:firstLineChars="200"/>
        <w:rPr>
          <w:rFonts w:hint="default"/>
          <w:sz w:val="28"/>
          <w:szCs w:val="28"/>
        </w:rPr>
      </w:pPr>
      <w:r>
        <w:rPr>
          <w:sz w:val="28"/>
          <w:szCs w:val="28"/>
        </w:rPr>
        <w:t>3. 国有资本经营预算财政拨款收入0.00万元。</w:t>
      </w:r>
    </w:p>
    <w:p>
      <w:pPr>
        <w:ind w:firstLine="560" w:firstLineChars="200"/>
        <w:rPr>
          <w:rFonts w:hint="default"/>
          <w:sz w:val="28"/>
          <w:szCs w:val="28"/>
        </w:rPr>
      </w:pPr>
      <w:r>
        <w:rPr>
          <w:sz w:val="28"/>
          <w:szCs w:val="28"/>
        </w:rPr>
        <w:t>4. 上级补助收入</w:t>
      </w:r>
      <w:r>
        <w:rPr>
          <w:rFonts w:hint="default"/>
          <w:sz w:val="28"/>
          <w:szCs w:val="28"/>
        </w:rPr>
        <w:t>0.00</w:t>
      </w:r>
      <w:r>
        <w:rPr>
          <w:sz w:val="28"/>
          <w:szCs w:val="28"/>
        </w:rPr>
        <w:t>万元。</w:t>
      </w:r>
    </w:p>
    <w:p>
      <w:pPr>
        <w:ind w:firstLine="560" w:firstLineChars="200"/>
        <w:rPr>
          <w:rFonts w:hint="default"/>
          <w:sz w:val="28"/>
          <w:szCs w:val="28"/>
        </w:rPr>
      </w:pPr>
      <w:r>
        <w:rPr>
          <w:sz w:val="28"/>
          <w:szCs w:val="28"/>
        </w:rPr>
        <w:t>5. 事业收入0.00万元。</w:t>
      </w:r>
    </w:p>
    <w:p>
      <w:pPr>
        <w:ind w:firstLine="560" w:firstLineChars="200"/>
        <w:rPr>
          <w:rFonts w:hint="default"/>
          <w:sz w:val="28"/>
          <w:szCs w:val="28"/>
        </w:rPr>
      </w:pPr>
      <w:r>
        <w:rPr>
          <w:sz w:val="28"/>
          <w:szCs w:val="28"/>
        </w:rPr>
        <w:t>6. 经营收入0.00万元。</w:t>
      </w:r>
    </w:p>
    <w:p>
      <w:pPr>
        <w:ind w:firstLine="560" w:firstLineChars="200"/>
        <w:rPr>
          <w:rFonts w:hint="default"/>
          <w:sz w:val="28"/>
          <w:szCs w:val="28"/>
        </w:rPr>
      </w:pPr>
      <w:r>
        <w:rPr>
          <w:sz w:val="28"/>
          <w:szCs w:val="28"/>
        </w:rPr>
        <w:t>7.附属单位上缴收入0.00万元。</w:t>
      </w:r>
    </w:p>
    <w:p>
      <w:pPr>
        <w:ind w:firstLine="560" w:firstLineChars="200"/>
        <w:rPr>
          <w:rFonts w:hint="default"/>
          <w:sz w:val="28"/>
          <w:szCs w:val="28"/>
        </w:rPr>
      </w:pPr>
      <w:r>
        <w:rPr>
          <w:sz w:val="28"/>
          <w:szCs w:val="28"/>
        </w:rPr>
        <w:t>8.其他收入</w:t>
      </w:r>
      <w:r>
        <w:rPr>
          <w:rFonts w:hint="default"/>
          <w:sz w:val="28"/>
          <w:szCs w:val="28"/>
        </w:rPr>
        <w:t>0.2</w:t>
      </w:r>
      <w:r>
        <w:rPr>
          <w:sz w:val="28"/>
          <w:szCs w:val="28"/>
        </w:rPr>
        <w:t>万元。</w:t>
      </w:r>
    </w:p>
    <w:p>
      <w:pPr>
        <w:ind w:firstLine="560" w:firstLineChars="200"/>
        <w:rPr>
          <w:rFonts w:hint="default"/>
          <w:sz w:val="28"/>
          <w:szCs w:val="28"/>
        </w:rPr>
      </w:pPr>
      <w:r>
        <w:rPr>
          <w:sz w:val="28"/>
          <w:szCs w:val="28"/>
        </w:rPr>
        <w:t>（二）202</w:t>
      </w:r>
      <w:r>
        <w:rPr>
          <w:rFonts w:hint="default"/>
          <w:sz w:val="28"/>
          <w:szCs w:val="28"/>
        </w:rPr>
        <w:t>1</w:t>
      </w:r>
      <w:r>
        <w:rPr>
          <w:sz w:val="28"/>
          <w:szCs w:val="28"/>
        </w:rPr>
        <w:t>年支出</w:t>
      </w:r>
      <w:r>
        <w:rPr>
          <w:rFonts w:hint="default"/>
          <w:sz w:val="28"/>
          <w:szCs w:val="28"/>
        </w:rPr>
        <w:t>777.33</w:t>
      </w:r>
      <w:r>
        <w:rPr>
          <w:sz w:val="28"/>
          <w:szCs w:val="28"/>
        </w:rPr>
        <w:t>万元，比上年决算数增加</w:t>
      </w:r>
      <w:r>
        <w:rPr>
          <w:rFonts w:hint="default"/>
          <w:sz w:val="28"/>
          <w:szCs w:val="28"/>
        </w:rPr>
        <w:t>27.18</w:t>
      </w:r>
      <w:r>
        <w:rPr>
          <w:sz w:val="28"/>
          <w:szCs w:val="28"/>
        </w:rPr>
        <w:t>万元，增长</w:t>
      </w:r>
      <w:r>
        <w:rPr>
          <w:rFonts w:hint="default"/>
          <w:sz w:val="28"/>
          <w:szCs w:val="28"/>
        </w:rPr>
        <w:t>3.6</w:t>
      </w:r>
      <w:r>
        <w:rPr>
          <w:sz w:val="28"/>
          <w:szCs w:val="28"/>
        </w:rPr>
        <w:t>％，具体情况如下：</w:t>
      </w:r>
    </w:p>
    <w:p>
      <w:pPr>
        <w:ind w:firstLine="560" w:firstLineChars="200"/>
        <w:rPr>
          <w:rFonts w:hint="default"/>
          <w:sz w:val="28"/>
          <w:szCs w:val="28"/>
        </w:rPr>
      </w:pPr>
      <w:r>
        <w:rPr>
          <w:sz w:val="28"/>
          <w:szCs w:val="28"/>
        </w:rPr>
        <w:t>1.基本支出</w:t>
      </w:r>
      <w:r>
        <w:rPr>
          <w:rFonts w:hint="default"/>
          <w:sz w:val="28"/>
          <w:szCs w:val="28"/>
        </w:rPr>
        <w:t>204.47</w:t>
      </w:r>
      <w:r>
        <w:rPr>
          <w:sz w:val="28"/>
          <w:szCs w:val="28"/>
        </w:rPr>
        <w:t>万元。其中，人员支出</w:t>
      </w:r>
      <w:r>
        <w:rPr>
          <w:rFonts w:hint="default"/>
          <w:sz w:val="28"/>
          <w:szCs w:val="28"/>
        </w:rPr>
        <w:t>187.94</w:t>
      </w:r>
      <w:r>
        <w:rPr>
          <w:sz w:val="28"/>
          <w:szCs w:val="28"/>
        </w:rPr>
        <w:t>万元，公用支出</w:t>
      </w:r>
      <w:r>
        <w:rPr>
          <w:rFonts w:hint="default"/>
          <w:sz w:val="28"/>
          <w:szCs w:val="28"/>
        </w:rPr>
        <w:t>16.53</w:t>
      </w:r>
      <w:r>
        <w:rPr>
          <w:sz w:val="28"/>
          <w:szCs w:val="28"/>
        </w:rPr>
        <w:t>万元。</w:t>
      </w:r>
    </w:p>
    <w:p>
      <w:pPr>
        <w:ind w:firstLine="560" w:firstLineChars="200"/>
        <w:rPr>
          <w:rFonts w:hint="default"/>
          <w:sz w:val="28"/>
          <w:szCs w:val="28"/>
        </w:rPr>
      </w:pPr>
      <w:r>
        <w:rPr>
          <w:sz w:val="28"/>
          <w:szCs w:val="28"/>
        </w:rPr>
        <w:t>2.项目支出</w:t>
      </w:r>
      <w:r>
        <w:rPr>
          <w:rFonts w:hint="default"/>
          <w:sz w:val="28"/>
          <w:szCs w:val="28"/>
        </w:rPr>
        <w:t>572.86</w:t>
      </w:r>
      <w:r>
        <w:rPr>
          <w:sz w:val="28"/>
          <w:szCs w:val="28"/>
        </w:rPr>
        <w:t>万元。</w:t>
      </w:r>
    </w:p>
    <w:p>
      <w:pPr>
        <w:ind w:firstLine="560" w:firstLineChars="200"/>
        <w:rPr>
          <w:rFonts w:hint="default"/>
          <w:sz w:val="28"/>
          <w:szCs w:val="28"/>
        </w:rPr>
      </w:pPr>
      <w:r>
        <w:rPr>
          <w:sz w:val="28"/>
          <w:szCs w:val="28"/>
        </w:rPr>
        <w:t>3.上缴上级支出0.00万元。</w:t>
      </w:r>
    </w:p>
    <w:p>
      <w:pPr>
        <w:ind w:firstLine="560" w:firstLineChars="200"/>
        <w:rPr>
          <w:rFonts w:hint="default"/>
          <w:sz w:val="28"/>
          <w:szCs w:val="28"/>
        </w:rPr>
      </w:pPr>
      <w:r>
        <w:rPr>
          <w:sz w:val="28"/>
          <w:szCs w:val="28"/>
        </w:rPr>
        <w:t>4.经营支出0.00万元。</w:t>
      </w:r>
    </w:p>
    <w:p>
      <w:pPr>
        <w:ind w:firstLine="560" w:firstLineChars="200"/>
        <w:rPr>
          <w:rFonts w:hint="default"/>
          <w:sz w:val="28"/>
          <w:szCs w:val="28"/>
        </w:rPr>
      </w:pPr>
      <w:r>
        <w:rPr>
          <w:sz w:val="28"/>
          <w:szCs w:val="28"/>
        </w:rPr>
        <w:t>5.对附属单位补助支出0.00万元。</w:t>
      </w:r>
    </w:p>
    <w:p>
      <w:pPr>
        <w:pStyle w:val="3"/>
        <w:rPr>
          <w:rFonts w:hint="default" w:cs="宋体"/>
        </w:rPr>
      </w:pPr>
      <w:bookmarkStart w:id="113" w:name="_Toc13397"/>
      <w:bookmarkEnd w:id="113"/>
      <w:bookmarkStart w:id="114" w:name="_Toc4429"/>
      <w:bookmarkStart w:id="115" w:name="_Toc14514"/>
      <w:bookmarkStart w:id="116" w:name="_Toc11162"/>
      <w:bookmarkStart w:id="117" w:name="_Toc19423"/>
      <w:bookmarkStart w:id="118" w:name="_Toc3658"/>
      <w:bookmarkStart w:id="119" w:name="_Toc3538"/>
      <w:r>
        <w:rPr>
          <w:rFonts w:cs="宋体"/>
        </w:rPr>
        <w:t>二、一般公共预算拨款支出决算情况说明</w:t>
      </w:r>
      <w:bookmarkEnd w:id="114"/>
      <w:bookmarkEnd w:id="115"/>
      <w:bookmarkEnd w:id="116"/>
      <w:bookmarkEnd w:id="117"/>
      <w:bookmarkEnd w:id="118"/>
      <w:bookmarkEnd w:id="119"/>
    </w:p>
    <w:p>
      <w:pPr>
        <w:ind w:firstLine="560" w:firstLineChars="200"/>
        <w:rPr>
          <w:rFonts w:hint="default"/>
          <w:sz w:val="28"/>
          <w:szCs w:val="28"/>
        </w:rPr>
      </w:pPr>
      <w:r>
        <w:rPr>
          <w:sz w:val="28"/>
          <w:szCs w:val="28"/>
        </w:rPr>
        <w:t>202</w:t>
      </w:r>
      <w:r>
        <w:rPr>
          <w:rFonts w:hint="default"/>
          <w:sz w:val="28"/>
          <w:szCs w:val="28"/>
        </w:rPr>
        <w:t>1</w:t>
      </w:r>
      <w:r>
        <w:rPr>
          <w:sz w:val="28"/>
          <w:szCs w:val="28"/>
        </w:rPr>
        <w:t>年</w:t>
      </w:r>
      <w:r>
        <w:rPr>
          <w:rFonts w:cs="宋体"/>
          <w:color w:val="000000"/>
          <w:sz w:val="28"/>
          <w:szCs w:val="28"/>
        </w:rPr>
        <w:t>渣土处置中心</w:t>
      </w:r>
      <w:r>
        <w:rPr>
          <w:sz w:val="28"/>
          <w:szCs w:val="28"/>
        </w:rPr>
        <w:t>一般公共预算拨款支出</w:t>
      </w:r>
      <w:r>
        <w:rPr>
          <w:rFonts w:hint="default"/>
          <w:sz w:val="28"/>
          <w:szCs w:val="28"/>
        </w:rPr>
        <w:t>777.13</w:t>
      </w:r>
      <w:r>
        <w:rPr>
          <w:sz w:val="28"/>
          <w:szCs w:val="28"/>
        </w:rPr>
        <w:t>万元，比上年决算数增加</w:t>
      </w:r>
      <w:r>
        <w:rPr>
          <w:rFonts w:hint="default"/>
          <w:sz w:val="28"/>
          <w:szCs w:val="28"/>
        </w:rPr>
        <w:t>26.98</w:t>
      </w:r>
      <w:r>
        <w:rPr>
          <w:sz w:val="28"/>
          <w:szCs w:val="28"/>
        </w:rPr>
        <w:t>万元，增长</w:t>
      </w:r>
      <w:r>
        <w:rPr>
          <w:rFonts w:hint="default"/>
          <w:sz w:val="28"/>
          <w:szCs w:val="28"/>
        </w:rPr>
        <w:t>3.6</w:t>
      </w:r>
      <w:r>
        <w:rPr>
          <w:sz w:val="28"/>
          <w:szCs w:val="28"/>
        </w:rPr>
        <w:t>%，具体情况如下(按项级科目分类统计)：</w:t>
      </w:r>
    </w:p>
    <w:p>
      <w:pPr>
        <w:ind w:firstLine="560" w:firstLineChars="200"/>
        <w:rPr>
          <w:rFonts w:hint="default"/>
          <w:sz w:val="28"/>
          <w:szCs w:val="28"/>
        </w:rPr>
      </w:pPr>
      <w:r>
        <w:rPr>
          <w:sz w:val="28"/>
          <w:szCs w:val="28"/>
        </w:rPr>
        <w:t>（一）2080502-事业单位离退休</w:t>
      </w:r>
      <w:r>
        <w:rPr>
          <w:rFonts w:hint="default"/>
          <w:sz w:val="28"/>
          <w:szCs w:val="28"/>
        </w:rPr>
        <w:t>4.55</w:t>
      </w:r>
      <w:r>
        <w:rPr>
          <w:sz w:val="28"/>
          <w:szCs w:val="28"/>
        </w:rPr>
        <w:t>万元，较上年决算数减少</w:t>
      </w:r>
      <w:r>
        <w:rPr>
          <w:rFonts w:hint="default"/>
          <w:sz w:val="28"/>
          <w:szCs w:val="28"/>
        </w:rPr>
        <w:t>4.45</w:t>
      </w:r>
      <w:r>
        <w:rPr>
          <w:sz w:val="28"/>
          <w:szCs w:val="28"/>
        </w:rPr>
        <w:t>万元，减少</w:t>
      </w:r>
      <w:r>
        <w:rPr>
          <w:rFonts w:hint="default"/>
          <w:sz w:val="28"/>
          <w:szCs w:val="28"/>
        </w:rPr>
        <w:t>49.44</w:t>
      </w:r>
      <w:r>
        <w:rPr>
          <w:sz w:val="28"/>
          <w:szCs w:val="28"/>
        </w:rPr>
        <w:t>%。主要原因是退休人员综治奖较</w:t>
      </w:r>
      <w:r>
        <w:rPr>
          <w:rFonts w:hint="default"/>
          <w:sz w:val="28"/>
          <w:szCs w:val="28"/>
        </w:rPr>
        <w:t>上年</w:t>
      </w:r>
      <w:r>
        <w:rPr>
          <w:sz w:val="28"/>
          <w:szCs w:val="28"/>
        </w:rPr>
        <w:t>减</w:t>
      </w:r>
      <w:r>
        <w:rPr>
          <w:rFonts w:hint="default"/>
          <w:sz w:val="28"/>
          <w:szCs w:val="28"/>
        </w:rPr>
        <w:t>少</w:t>
      </w:r>
      <w:r>
        <w:rPr>
          <w:sz w:val="28"/>
          <w:szCs w:val="28"/>
        </w:rPr>
        <w:t>。</w:t>
      </w:r>
    </w:p>
    <w:p>
      <w:pPr>
        <w:ind w:firstLine="560" w:firstLineChars="200"/>
        <w:rPr>
          <w:rFonts w:hint="default"/>
          <w:sz w:val="28"/>
          <w:szCs w:val="28"/>
        </w:rPr>
      </w:pPr>
      <w:r>
        <w:rPr>
          <w:sz w:val="28"/>
          <w:szCs w:val="28"/>
        </w:rPr>
        <w:t>（二）2080505-机关事业单位基本养老保险缴费支出</w:t>
      </w:r>
      <w:r>
        <w:rPr>
          <w:rFonts w:hint="default"/>
          <w:sz w:val="28"/>
          <w:szCs w:val="28"/>
        </w:rPr>
        <w:t>15.26</w:t>
      </w:r>
      <w:r>
        <w:rPr>
          <w:sz w:val="28"/>
          <w:szCs w:val="28"/>
        </w:rPr>
        <w:t>万元，较上年决算数增加</w:t>
      </w:r>
      <w:r>
        <w:rPr>
          <w:rFonts w:hint="default"/>
          <w:sz w:val="28"/>
          <w:szCs w:val="28"/>
        </w:rPr>
        <w:t>2.04</w:t>
      </w:r>
      <w:r>
        <w:rPr>
          <w:sz w:val="28"/>
          <w:szCs w:val="28"/>
        </w:rPr>
        <w:t>万元，增长</w:t>
      </w:r>
      <w:r>
        <w:rPr>
          <w:rFonts w:hint="default"/>
          <w:sz w:val="28"/>
          <w:szCs w:val="28"/>
        </w:rPr>
        <w:t>15.43</w:t>
      </w:r>
      <w:r>
        <w:rPr>
          <w:sz w:val="28"/>
          <w:szCs w:val="28"/>
        </w:rPr>
        <w:t>%。主要原因是202</w:t>
      </w:r>
      <w:r>
        <w:rPr>
          <w:rFonts w:hint="default"/>
          <w:sz w:val="28"/>
          <w:szCs w:val="28"/>
        </w:rPr>
        <w:t>1</w:t>
      </w:r>
      <w:r>
        <w:rPr>
          <w:sz w:val="28"/>
          <w:szCs w:val="28"/>
        </w:rPr>
        <w:t>年工资增长。</w:t>
      </w:r>
    </w:p>
    <w:p>
      <w:pPr>
        <w:ind w:firstLine="560" w:firstLineChars="200"/>
        <w:rPr>
          <w:rFonts w:hint="default"/>
          <w:sz w:val="28"/>
          <w:szCs w:val="28"/>
        </w:rPr>
      </w:pPr>
      <w:r>
        <w:rPr>
          <w:sz w:val="28"/>
          <w:szCs w:val="28"/>
        </w:rPr>
        <w:t>（三）2080506-机关事业单位职业年金缴费支出</w:t>
      </w:r>
      <w:r>
        <w:rPr>
          <w:rFonts w:hint="default"/>
          <w:sz w:val="28"/>
          <w:szCs w:val="28"/>
        </w:rPr>
        <w:t>7.63</w:t>
      </w:r>
      <w:r>
        <w:rPr>
          <w:sz w:val="28"/>
          <w:szCs w:val="28"/>
        </w:rPr>
        <w:t>万元，较上年决算数增加</w:t>
      </w:r>
      <w:r>
        <w:rPr>
          <w:rFonts w:hint="default"/>
          <w:sz w:val="28"/>
          <w:szCs w:val="28"/>
        </w:rPr>
        <w:t>1.43</w:t>
      </w:r>
      <w:r>
        <w:rPr>
          <w:sz w:val="28"/>
          <w:szCs w:val="28"/>
        </w:rPr>
        <w:t>万元，增长</w:t>
      </w:r>
      <w:r>
        <w:rPr>
          <w:rFonts w:hint="default"/>
          <w:sz w:val="28"/>
          <w:szCs w:val="28"/>
        </w:rPr>
        <w:t>23.06</w:t>
      </w:r>
      <w:r>
        <w:rPr>
          <w:sz w:val="28"/>
          <w:szCs w:val="28"/>
        </w:rPr>
        <w:t>%。主要原因是202</w:t>
      </w:r>
      <w:r>
        <w:rPr>
          <w:rFonts w:hint="default"/>
          <w:sz w:val="28"/>
          <w:szCs w:val="28"/>
        </w:rPr>
        <w:t>1</w:t>
      </w:r>
      <w:r>
        <w:rPr>
          <w:sz w:val="28"/>
          <w:szCs w:val="28"/>
        </w:rPr>
        <w:t>年工资增长。</w:t>
      </w:r>
    </w:p>
    <w:p>
      <w:pPr>
        <w:ind w:firstLine="560" w:firstLineChars="200"/>
        <w:rPr>
          <w:rFonts w:hint="default"/>
          <w:sz w:val="28"/>
          <w:szCs w:val="28"/>
        </w:rPr>
      </w:pPr>
      <w:r>
        <w:rPr>
          <w:sz w:val="28"/>
          <w:szCs w:val="28"/>
        </w:rPr>
        <w:t>（四）2120501-城乡社区环境卫生</w:t>
      </w:r>
      <w:r>
        <w:rPr>
          <w:rFonts w:hint="default"/>
          <w:sz w:val="28"/>
          <w:szCs w:val="28"/>
        </w:rPr>
        <w:t>723.51</w:t>
      </w:r>
      <w:r>
        <w:rPr>
          <w:sz w:val="28"/>
          <w:szCs w:val="28"/>
        </w:rPr>
        <w:t>万元，较上年决算数增加</w:t>
      </w:r>
      <w:r>
        <w:rPr>
          <w:rFonts w:hint="default"/>
          <w:sz w:val="28"/>
          <w:szCs w:val="28"/>
        </w:rPr>
        <w:t>21.54</w:t>
      </w:r>
      <w:r>
        <w:rPr>
          <w:sz w:val="28"/>
          <w:szCs w:val="28"/>
        </w:rPr>
        <w:t>万元，增长</w:t>
      </w:r>
      <w:r>
        <w:rPr>
          <w:rFonts w:hint="default"/>
          <w:sz w:val="28"/>
          <w:szCs w:val="28"/>
        </w:rPr>
        <w:t>3.1</w:t>
      </w:r>
      <w:r>
        <w:rPr>
          <w:sz w:val="28"/>
          <w:szCs w:val="28"/>
        </w:rPr>
        <w:t>%。主要原因是202</w:t>
      </w:r>
      <w:r>
        <w:rPr>
          <w:rFonts w:hint="default"/>
          <w:sz w:val="28"/>
          <w:szCs w:val="28"/>
        </w:rPr>
        <w:t>1</w:t>
      </w:r>
      <w:r>
        <w:rPr>
          <w:sz w:val="28"/>
          <w:szCs w:val="28"/>
        </w:rPr>
        <w:t>年工资增长。</w:t>
      </w:r>
    </w:p>
    <w:p>
      <w:pPr>
        <w:ind w:firstLine="560" w:firstLineChars="200"/>
        <w:rPr>
          <w:rFonts w:hint="default"/>
          <w:sz w:val="28"/>
          <w:szCs w:val="28"/>
        </w:rPr>
      </w:pPr>
      <w:r>
        <w:rPr>
          <w:sz w:val="28"/>
          <w:szCs w:val="28"/>
        </w:rPr>
        <w:t>（五）2210201-住房公积金</w:t>
      </w:r>
      <w:r>
        <w:rPr>
          <w:rFonts w:hint="default"/>
          <w:sz w:val="28"/>
          <w:szCs w:val="28"/>
        </w:rPr>
        <w:t>16.38</w:t>
      </w:r>
      <w:r>
        <w:rPr>
          <w:sz w:val="28"/>
          <w:szCs w:val="28"/>
        </w:rPr>
        <w:t>万元，较上年决算数增加</w:t>
      </w:r>
      <w:r>
        <w:rPr>
          <w:rFonts w:hint="default"/>
          <w:sz w:val="28"/>
          <w:szCs w:val="28"/>
        </w:rPr>
        <w:t>3.34</w:t>
      </w:r>
      <w:r>
        <w:rPr>
          <w:sz w:val="28"/>
          <w:szCs w:val="28"/>
        </w:rPr>
        <w:t>万元，上升</w:t>
      </w:r>
      <w:r>
        <w:rPr>
          <w:rFonts w:hint="default"/>
          <w:sz w:val="28"/>
          <w:szCs w:val="28"/>
        </w:rPr>
        <w:t>25.61</w:t>
      </w:r>
      <w:r>
        <w:rPr>
          <w:sz w:val="28"/>
          <w:szCs w:val="28"/>
        </w:rPr>
        <w:t>%。主要原因是</w:t>
      </w:r>
      <w:r>
        <w:rPr>
          <w:rFonts w:hint="default"/>
          <w:sz w:val="28"/>
          <w:szCs w:val="28"/>
        </w:rPr>
        <w:t>公积金基数</w:t>
      </w:r>
      <w:r>
        <w:rPr>
          <w:sz w:val="28"/>
          <w:szCs w:val="28"/>
        </w:rPr>
        <w:t>按规定</w:t>
      </w:r>
      <w:r>
        <w:rPr>
          <w:rFonts w:hint="default"/>
          <w:sz w:val="28"/>
          <w:szCs w:val="28"/>
        </w:rPr>
        <w:t>调</w:t>
      </w:r>
      <w:r>
        <w:rPr>
          <w:sz w:val="28"/>
          <w:szCs w:val="28"/>
        </w:rPr>
        <w:t>整。</w:t>
      </w:r>
    </w:p>
    <w:p>
      <w:pPr>
        <w:ind w:firstLine="560" w:firstLineChars="200"/>
        <w:rPr>
          <w:rFonts w:hint="default"/>
          <w:sz w:val="28"/>
          <w:szCs w:val="28"/>
        </w:rPr>
      </w:pPr>
      <w:r>
        <w:rPr>
          <w:sz w:val="28"/>
          <w:szCs w:val="28"/>
        </w:rPr>
        <w:t>（六）2210202-提租补贴</w:t>
      </w:r>
      <w:r>
        <w:rPr>
          <w:rFonts w:hint="default"/>
          <w:sz w:val="28"/>
          <w:szCs w:val="28"/>
        </w:rPr>
        <w:t>5.27</w:t>
      </w:r>
      <w:r>
        <w:rPr>
          <w:sz w:val="28"/>
          <w:szCs w:val="28"/>
        </w:rPr>
        <w:t>万元，较上年决算数增加</w:t>
      </w:r>
      <w:r>
        <w:rPr>
          <w:rFonts w:hint="default"/>
          <w:sz w:val="28"/>
          <w:szCs w:val="28"/>
        </w:rPr>
        <w:t>1.29</w:t>
      </w:r>
      <w:r>
        <w:rPr>
          <w:sz w:val="28"/>
          <w:szCs w:val="28"/>
        </w:rPr>
        <w:t>万元，上升</w:t>
      </w:r>
      <w:r>
        <w:rPr>
          <w:rFonts w:hint="default"/>
          <w:sz w:val="28"/>
          <w:szCs w:val="28"/>
        </w:rPr>
        <w:t>32.41</w:t>
      </w:r>
      <w:r>
        <w:rPr>
          <w:sz w:val="28"/>
          <w:szCs w:val="28"/>
        </w:rPr>
        <w:t>%。主要原因是202</w:t>
      </w:r>
      <w:r>
        <w:rPr>
          <w:rFonts w:hint="default"/>
          <w:sz w:val="28"/>
          <w:szCs w:val="28"/>
        </w:rPr>
        <w:t>1</w:t>
      </w:r>
      <w:r>
        <w:rPr>
          <w:sz w:val="28"/>
          <w:szCs w:val="28"/>
        </w:rPr>
        <w:t>年提租补贴</w:t>
      </w:r>
      <w:r>
        <w:rPr>
          <w:rFonts w:hint="default"/>
          <w:sz w:val="28"/>
          <w:szCs w:val="28"/>
        </w:rPr>
        <w:t>按</w:t>
      </w:r>
      <w:r>
        <w:rPr>
          <w:sz w:val="28"/>
          <w:szCs w:val="28"/>
        </w:rPr>
        <w:t>规定调整。</w:t>
      </w:r>
    </w:p>
    <w:p>
      <w:pPr>
        <w:ind w:firstLine="560" w:firstLineChars="200"/>
        <w:rPr>
          <w:rFonts w:hint="default"/>
          <w:sz w:val="28"/>
          <w:szCs w:val="28"/>
        </w:rPr>
      </w:pPr>
      <w:r>
        <w:rPr>
          <w:sz w:val="28"/>
          <w:szCs w:val="28"/>
        </w:rPr>
        <w:t>（七）2210203-购房补贴</w:t>
      </w:r>
      <w:r>
        <w:rPr>
          <w:rFonts w:hint="default"/>
          <w:sz w:val="28"/>
          <w:szCs w:val="28"/>
        </w:rPr>
        <w:t>4.54</w:t>
      </w:r>
      <w:r>
        <w:rPr>
          <w:sz w:val="28"/>
          <w:szCs w:val="28"/>
        </w:rPr>
        <w:t>万元，较上年决算数增加</w:t>
      </w:r>
      <w:r>
        <w:rPr>
          <w:rFonts w:hint="default"/>
          <w:sz w:val="28"/>
          <w:szCs w:val="28"/>
        </w:rPr>
        <w:t>1.81</w:t>
      </w:r>
      <w:r>
        <w:rPr>
          <w:sz w:val="28"/>
          <w:szCs w:val="28"/>
        </w:rPr>
        <w:t>万元，增长</w:t>
      </w:r>
      <w:r>
        <w:rPr>
          <w:rFonts w:hint="default"/>
          <w:sz w:val="28"/>
          <w:szCs w:val="28"/>
        </w:rPr>
        <w:t>66.3</w:t>
      </w:r>
      <w:r>
        <w:rPr>
          <w:sz w:val="28"/>
          <w:szCs w:val="28"/>
        </w:rPr>
        <w:t>%。主要原因</w:t>
      </w:r>
      <w:r>
        <w:rPr>
          <w:rFonts w:hint="default"/>
          <w:sz w:val="28"/>
          <w:szCs w:val="28"/>
        </w:rPr>
        <w:t>购房补贴基数</w:t>
      </w:r>
      <w:r>
        <w:rPr>
          <w:sz w:val="28"/>
          <w:szCs w:val="28"/>
        </w:rPr>
        <w:t>按规定</w:t>
      </w:r>
      <w:r>
        <w:rPr>
          <w:rFonts w:hint="default"/>
          <w:sz w:val="28"/>
          <w:szCs w:val="28"/>
        </w:rPr>
        <w:t>调</w:t>
      </w:r>
      <w:r>
        <w:rPr>
          <w:sz w:val="28"/>
          <w:szCs w:val="28"/>
        </w:rPr>
        <w:t>整</w:t>
      </w:r>
      <w:r>
        <w:rPr>
          <w:rFonts w:hint="default"/>
          <w:sz w:val="28"/>
          <w:szCs w:val="28"/>
        </w:rPr>
        <w:t>。</w:t>
      </w:r>
    </w:p>
    <w:p>
      <w:pPr>
        <w:pStyle w:val="3"/>
        <w:ind w:firstLine="723" w:firstLineChars="200"/>
        <w:rPr>
          <w:rFonts w:hint="default" w:cs="宋体"/>
        </w:rPr>
      </w:pPr>
      <w:bookmarkStart w:id="120" w:name="_Toc32740"/>
      <w:bookmarkEnd w:id="120"/>
      <w:bookmarkStart w:id="121" w:name="_Toc30744"/>
      <w:bookmarkStart w:id="122" w:name="_Toc27252"/>
      <w:bookmarkStart w:id="123" w:name="_Toc1396"/>
      <w:bookmarkStart w:id="124" w:name="_Toc14708"/>
      <w:bookmarkStart w:id="125" w:name="_Toc17496"/>
      <w:bookmarkStart w:id="126" w:name="_Toc2371"/>
      <w:r>
        <w:rPr>
          <w:rFonts w:cs="宋体"/>
        </w:rPr>
        <w:t>三、政府性基金财政拨款支出决算情况说明</w:t>
      </w:r>
      <w:bookmarkEnd w:id="121"/>
      <w:bookmarkEnd w:id="122"/>
      <w:bookmarkEnd w:id="123"/>
      <w:bookmarkEnd w:id="124"/>
      <w:bookmarkEnd w:id="125"/>
      <w:bookmarkEnd w:id="126"/>
    </w:p>
    <w:p>
      <w:pPr>
        <w:adjustRightInd w:val="0"/>
        <w:spacing w:beforeAutospacing="1" w:afterAutospacing="1" w:line="600" w:lineRule="exact"/>
        <w:ind w:firstLine="560" w:firstLineChars="200"/>
        <w:rPr>
          <w:rFonts w:hint="default" w:cs="宋体"/>
          <w:sz w:val="28"/>
          <w:szCs w:val="28"/>
        </w:rPr>
      </w:pPr>
      <w:r>
        <w:rPr>
          <w:rFonts w:cs="宋体"/>
          <w:sz w:val="28"/>
          <w:szCs w:val="28"/>
        </w:rPr>
        <w:t>渣土</w:t>
      </w:r>
      <w:r>
        <w:rPr>
          <w:rFonts w:hint="default" w:cs="宋体"/>
          <w:sz w:val="28"/>
          <w:szCs w:val="28"/>
        </w:rPr>
        <w:t>处置中心</w:t>
      </w:r>
      <w:r>
        <w:rPr>
          <w:rFonts w:cs="宋体"/>
          <w:sz w:val="28"/>
          <w:szCs w:val="28"/>
        </w:rPr>
        <w:t>202</w:t>
      </w:r>
      <w:r>
        <w:rPr>
          <w:rFonts w:hint="default" w:cs="宋体"/>
          <w:sz w:val="28"/>
          <w:szCs w:val="28"/>
        </w:rPr>
        <w:t>1</w:t>
      </w:r>
      <w:r>
        <w:rPr>
          <w:rFonts w:cs="宋体"/>
          <w:sz w:val="28"/>
          <w:szCs w:val="28"/>
        </w:rPr>
        <w:t>年度没有使用政府性基金预算拨款安排的支出。</w:t>
      </w:r>
    </w:p>
    <w:p>
      <w:pPr>
        <w:pStyle w:val="3"/>
        <w:ind w:firstLine="723" w:firstLineChars="200"/>
        <w:rPr>
          <w:rFonts w:hint="default" w:cs="宋体"/>
        </w:rPr>
      </w:pPr>
      <w:bookmarkStart w:id="127" w:name="_Toc21894"/>
      <w:bookmarkEnd w:id="127"/>
      <w:bookmarkStart w:id="128" w:name="_Toc31188"/>
      <w:bookmarkStart w:id="129" w:name="_Toc29764"/>
      <w:bookmarkStart w:id="130" w:name="_Toc3151"/>
      <w:bookmarkStart w:id="131" w:name="_Toc28151"/>
      <w:bookmarkStart w:id="132" w:name="_Toc7363"/>
      <w:bookmarkStart w:id="133" w:name="_Toc28998"/>
      <w:r>
        <w:rPr>
          <w:rFonts w:cs="宋体"/>
        </w:rPr>
        <w:t>四、国有资本经营预算财政拨款支出决算情况说明</w:t>
      </w:r>
      <w:bookmarkEnd w:id="128"/>
      <w:bookmarkEnd w:id="129"/>
      <w:bookmarkEnd w:id="130"/>
      <w:bookmarkEnd w:id="131"/>
      <w:bookmarkEnd w:id="132"/>
      <w:bookmarkEnd w:id="133"/>
    </w:p>
    <w:p>
      <w:pPr>
        <w:adjustRightInd w:val="0"/>
        <w:spacing w:beforeAutospacing="1" w:afterAutospacing="1" w:line="600" w:lineRule="exact"/>
        <w:ind w:firstLine="560" w:firstLineChars="200"/>
        <w:rPr>
          <w:rFonts w:hint="default" w:cs="宋体"/>
          <w:sz w:val="28"/>
          <w:szCs w:val="28"/>
        </w:rPr>
      </w:pPr>
      <w:r>
        <w:rPr>
          <w:rFonts w:cs="宋体"/>
          <w:sz w:val="28"/>
          <w:szCs w:val="28"/>
        </w:rPr>
        <w:t>渣土</w:t>
      </w:r>
      <w:r>
        <w:rPr>
          <w:rFonts w:hint="default" w:cs="宋体"/>
          <w:sz w:val="28"/>
          <w:szCs w:val="28"/>
        </w:rPr>
        <w:t>处置中心</w:t>
      </w:r>
      <w:r>
        <w:rPr>
          <w:rFonts w:cs="宋体"/>
          <w:sz w:val="28"/>
          <w:szCs w:val="28"/>
        </w:rPr>
        <w:t>202</w:t>
      </w:r>
      <w:r>
        <w:rPr>
          <w:rFonts w:hint="default" w:cs="宋体"/>
          <w:sz w:val="28"/>
          <w:szCs w:val="28"/>
        </w:rPr>
        <w:t>1</w:t>
      </w:r>
      <w:r>
        <w:rPr>
          <w:rFonts w:cs="宋体"/>
          <w:sz w:val="28"/>
          <w:szCs w:val="28"/>
        </w:rPr>
        <w:t>年度没有使用国有资本经营预算财政拨款安排的支出。</w:t>
      </w:r>
    </w:p>
    <w:p>
      <w:pPr>
        <w:pStyle w:val="3"/>
        <w:ind w:firstLine="542" w:firstLineChars="150"/>
        <w:rPr>
          <w:rFonts w:hint="default" w:cs="宋体"/>
        </w:rPr>
      </w:pPr>
      <w:bookmarkStart w:id="134" w:name="_Toc8860"/>
      <w:bookmarkEnd w:id="134"/>
      <w:bookmarkStart w:id="135" w:name="_Toc633"/>
      <w:bookmarkStart w:id="136" w:name="_Toc5903"/>
      <w:bookmarkStart w:id="137" w:name="_Toc10502"/>
      <w:bookmarkStart w:id="138" w:name="_Toc30618"/>
      <w:bookmarkStart w:id="139" w:name="_Toc32284"/>
      <w:bookmarkStart w:id="140" w:name="_Toc11946"/>
      <w:r>
        <w:rPr>
          <w:rFonts w:cs="宋体"/>
        </w:rPr>
        <w:t>五、一般公共预算财政拨款基本支出决算情况说明</w:t>
      </w:r>
      <w:bookmarkEnd w:id="135"/>
      <w:bookmarkEnd w:id="136"/>
      <w:bookmarkEnd w:id="137"/>
      <w:bookmarkEnd w:id="138"/>
      <w:bookmarkEnd w:id="139"/>
      <w:bookmarkEnd w:id="140"/>
    </w:p>
    <w:p>
      <w:pPr>
        <w:adjustRightInd w:val="0"/>
        <w:spacing w:beforeAutospacing="1" w:afterAutospacing="1" w:line="600" w:lineRule="exact"/>
        <w:ind w:firstLine="560" w:firstLineChars="200"/>
        <w:rPr>
          <w:rFonts w:hint="default" w:cs="宋体"/>
          <w:sz w:val="28"/>
          <w:szCs w:val="28"/>
        </w:rPr>
      </w:pPr>
      <w:r>
        <w:rPr>
          <w:rFonts w:cs="宋体"/>
          <w:sz w:val="28"/>
          <w:szCs w:val="28"/>
        </w:rPr>
        <w:t>202</w:t>
      </w:r>
      <w:r>
        <w:rPr>
          <w:rFonts w:hint="default" w:cs="宋体"/>
          <w:sz w:val="28"/>
          <w:szCs w:val="28"/>
        </w:rPr>
        <w:t>1</w:t>
      </w:r>
      <w:r>
        <w:rPr>
          <w:rFonts w:cs="宋体"/>
          <w:sz w:val="28"/>
          <w:szCs w:val="28"/>
        </w:rPr>
        <w:t>年度</w:t>
      </w:r>
      <w:r>
        <w:rPr>
          <w:rFonts w:cs="宋体"/>
          <w:color w:val="000000"/>
          <w:sz w:val="28"/>
          <w:szCs w:val="28"/>
        </w:rPr>
        <w:t>渣土处置中心</w:t>
      </w:r>
      <w:r>
        <w:rPr>
          <w:rFonts w:cs="宋体"/>
          <w:sz w:val="28"/>
          <w:szCs w:val="28"/>
        </w:rPr>
        <w:t>一般公共预算财政拨款基本支出</w:t>
      </w:r>
      <w:r>
        <w:rPr>
          <w:rFonts w:hint="default" w:cs="宋体"/>
          <w:color w:val="333333"/>
          <w:sz w:val="28"/>
          <w:szCs w:val="28"/>
        </w:rPr>
        <w:t>204.47</w:t>
      </w:r>
      <w:r>
        <w:rPr>
          <w:rFonts w:cs="宋体"/>
          <w:sz w:val="28"/>
          <w:szCs w:val="28"/>
        </w:rPr>
        <w:t>万元，其中：</w:t>
      </w:r>
    </w:p>
    <w:p>
      <w:pPr>
        <w:numPr>
          <w:ilvl w:val="0"/>
          <w:numId w:val="3"/>
        </w:numPr>
        <w:adjustRightInd w:val="0"/>
        <w:spacing w:beforeAutospacing="1" w:afterAutospacing="1" w:line="600" w:lineRule="exact"/>
        <w:ind w:firstLine="560"/>
        <w:rPr>
          <w:rFonts w:hint="default" w:cs="宋体"/>
          <w:sz w:val="28"/>
          <w:szCs w:val="28"/>
        </w:rPr>
      </w:pPr>
      <w:r>
        <w:rPr>
          <w:rFonts w:cs="宋体"/>
          <w:sz w:val="28"/>
          <w:szCs w:val="28"/>
        </w:rPr>
        <w:t>人员经费</w:t>
      </w:r>
      <w:r>
        <w:rPr>
          <w:rFonts w:hint="default" w:cs="宋体"/>
          <w:color w:val="333333"/>
          <w:sz w:val="28"/>
          <w:szCs w:val="28"/>
        </w:rPr>
        <w:t>187.94</w:t>
      </w:r>
      <w:r>
        <w:rPr>
          <w:rFonts w:cs="宋体"/>
          <w:sz w:val="28"/>
          <w:szCs w:val="28"/>
        </w:rPr>
        <w:t>万元，主要包括：基本工资、津贴补贴、奖金、伙食补助费、绩效工资、机关事业单位基本养老保险缴费、职业年金缴费、其他社会保障缴费、其他工资福利支出、住房公积金、提租补贴、购房补贴、其他对个人和家庭的补助支出。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numPr>
          <w:ilvl w:val="0"/>
          <w:numId w:val="3"/>
        </w:numPr>
        <w:adjustRightInd w:val="0"/>
        <w:spacing w:beforeAutospacing="1" w:afterAutospacing="1" w:line="600" w:lineRule="exact"/>
      </w:pPr>
      <w:r>
        <w:rPr>
          <w:rFonts w:cs="宋体"/>
          <w:sz w:val="28"/>
          <w:szCs w:val="28"/>
        </w:rPr>
        <w:t>公用经费</w:t>
      </w:r>
      <w:r>
        <w:rPr>
          <w:rFonts w:hint="default" w:cs="宋体"/>
          <w:color w:val="333333"/>
          <w:sz w:val="28"/>
          <w:szCs w:val="28"/>
        </w:rPr>
        <w:t>16.53</w:t>
      </w:r>
      <w:r>
        <w:rPr>
          <w:rFonts w:cs="宋体"/>
          <w:sz w:val="28"/>
          <w:szCs w:val="28"/>
        </w:rPr>
        <w:t>万元，主要包括：</w:t>
      </w:r>
      <w:bookmarkStart w:id="141" w:name="_Toc11412"/>
      <w:bookmarkEnd w:id="141"/>
      <w:bookmarkStart w:id="142" w:name="_Toc21150"/>
      <w:bookmarkStart w:id="143" w:name="_Toc18839"/>
      <w:bookmarkStart w:id="144" w:name="_Toc4388"/>
      <w:bookmarkStart w:id="145" w:name="_Toc13179"/>
      <w:bookmarkStart w:id="146" w:name="_Toc17464"/>
      <w:bookmarkStart w:id="147" w:name="_Toc12024"/>
      <w:r>
        <w:rPr>
          <w:rFonts w:cs="宋体"/>
          <w:sz w:val="28"/>
          <w:szCs w:val="28"/>
        </w:rPr>
        <w:t>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ind w:left="480" w:leftChars="200" w:firstLine="361" w:firstLineChars="100"/>
        <w:rPr>
          <w:rFonts w:hint="default"/>
        </w:rPr>
      </w:pPr>
      <w:r>
        <w:t>六、一般公共预算拨款“三公”经费支出决算情况 说明</w:t>
      </w:r>
      <w:bookmarkEnd w:id="142"/>
      <w:bookmarkEnd w:id="143"/>
      <w:bookmarkEnd w:id="144"/>
      <w:bookmarkEnd w:id="145"/>
      <w:bookmarkEnd w:id="146"/>
      <w:bookmarkEnd w:id="147"/>
    </w:p>
    <w:p>
      <w:pPr>
        <w:ind w:firstLine="560" w:firstLineChars="200"/>
        <w:rPr>
          <w:rFonts w:hint="default"/>
          <w:sz w:val="28"/>
          <w:szCs w:val="28"/>
        </w:rPr>
      </w:pPr>
      <w:r>
        <w:rPr>
          <w:sz w:val="28"/>
          <w:szCs w:val="28"/>
        </w:rPr>
        <w:t>202</w:t>
      </w:r>
      <w:r>
        <w:rPr>
          <w:rFonts w:hint="default"/>
          <w:sz w:val="28"/>
          <w:szCs w:val="28"/>
        </w:rPr>
        <w:t>1</w:t>
      </w:r>
      <w:r>
        <w:rPr>
          <w:sz w:val="28"/>
          <w:szCs w:val="28"/>
        </w:rPr>
        <w:t>年度</w:t>
      </w:r>
      <w:r>
        <w:rPr>
          <w:rFonts w:cs="宋体"/>
          <w:color w:val="000000"/>
          <w:sz w:val="28"/>
          <w:szCs w:val="28"/>
        </w:rPr>
        <w:t>渣土处置中心</w:t>
      </w:r>
      <w:r>
        <w:rPr>
          <w:sz w:val="28"/>
          <w:szCs w:val="28"/>
        </w:rPr>
        <w:t>“三公”经费财政拨款支出</w:t>
      </w:r>
      <w:r>
        <w:rPr>
          <w:rFonts w:hint="default"/>
          <w:sz w:val="28"/>
          <w:szCs w:val="28"/>
        </w:rPr>
        <w:t>0.79</w:t>
      </w:r>
      <w:r>
        <w:rPr>
          <w:sz w:val="28"/>
          <w:szCs w:val="28"/>
        </w:rPr>
        <w:t>万元，比本年预算的</w:t>
      </w:r>
      <w:r>
        <w:rPr>
          <w:rFonts w:hint="default"/>
          <w:sz w:val="28"/>
          <w:szCs w:val="28"/>
        </w:rPr>
        <w:t>1.3</w:t>
      </w:r>
      <w:r>
        <w:rPr>
          <w:sz w:val="28"/>
          <w:szCs w:val="28"/>
        </w:rPr>
        <w:t>万元下降</w:t>
      </w:r>
      <w:r>
        <w:rPr>
          <w:rFonts w:hint="default"/>
          <w:sz w:val="28"/>
          <w:szCs w:val="28"/>
        </w:rPr>
        <w:t>39.23</w:t>
      </w:r>
      <w:r>
        <w:rPr>
          <w:sz w:val="28"/>
          <w:szCs w:val="28"/>
        </w:rPr>
        <w:t>%。主要原因是公务</w:t>
      </w:r>
      <w:r>
        <w:rPr>
          <w:rFonts w:hint="default"/>
          <w:sz w:val="28"/>
          <w:szCs w:val="28"/>
        </w:rPr>
        <w:t>车辆经费厉行节约使用</w:t>
      </w:r>
      <w:r>
        <w:rPr>
          <w:sz w:val="28"/>
          <w:szCs w:val="28"/>
        </w:rPr>
        <w:t>。具体情况如下：</w:t>
      </w:r>
    </w:p>
    <w:p>
      <w:pPr>
        <w:pStyle w:val="29"/>
        <w:tabs>
          <w:tab w:val="left" w:pos="7513"/>
        </w:tabs>
        <w:adjustRightInd w:val="0"/>
        <w:snapToGrid w:val="0"/>
        <w:spacing w:before="100" w:beforeAutospacing="1" w:after="100" w:afterAutospacing="1" w:line="600" w:lineRule="exact"/>
        <w:ind w:left="420"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（一）因公出国（境）费支出</w:t>
      </w:r>
      <w:r>
        <w:rPr>
          <w:rFonts w:cs="仿宋_GB2312" w:asciiTheme="minorEastAsia" w:hAnsiTheme="minorEastAsia" w:eastAsiaTheme="minorEastAsia"/>
          <w:color w:val="333333"/>
          <w:sz w:val="28"/>
          <w:szCs w:val="28"/>
        </w:rPr>
        <w:t>0.00</w:t>
      </w:r>
      <w:r>
        <w:rPr>
          <w:rFonts w:cs="仿宋_GB2312" w:asciiTheme="minorEastAsia" w:hAnsiTheme="minorEastAsia" w:eastAsiaTheme="minorEastAsia"/>
          <w:sz w:val="28"/>
          <w:szCs w:val="28"/>
        </w:rPr>
        <w:t>万元，比本年预算的0</w:t>
      </w:r>
      <w:r>
        <w:rPr>
          <w:rFonts w:hint="default" w:cs="仿宋_GB2312" w:asciiTheme="minorEastAsia" w:hAnsiTheme="minorEastAsia" w:eastAsiaTheme="minorEastAsia"/>
          <w:sz w:val="28"/>
          <w:szCs w:val="28"/>
        </w:rPr>
        <w:t>.00</w:t>
      </w:r>
      <w:r>
        <w:rPr>
          <w:rFonts w:cs="仿宋_GB2312" w:asciiTheme="minorEastAsia" w:hAnsiTheme="minorEastAsia" w:eastAsiaTheme="minorEastAsia"/>
          <w:sz w:val="28"/>
          <w:szCs w:val="28"/>
        </w:rPr>
        <w:t>万元下降0%。全年安排</w:t>
      </w:r>
      <w:r>
        <w:rPr>
          <w:rFonts w:hint="eastAsia" w:cs="仿宋_GB2312" w:asciiTheme="minorEastAsia" w:hAnsiTheme="minorEastAsia" w:eastAsiaTheme="minorEastAsia"/>
          <w:sz w:val="28"/>
          <w:szCs w:val="28"/>
          <w:lang w:eastAsia="zh-CN"/>
        </w:rPr>
        <w:t>本单位</w:t>
      </w:r>
      <w:r>
        <w:rPr>
          <w:rFonts w:cs="仿宋_GB2312" w:asciiTheme="minorEastAsia" w:hAnsiTheme="minorEastAsia" w:eastAsiaTheme="minorEastAsia"/>
          <w:sz w:val="28"/>
          <w:szCs w:val="28"/>
        </w:rPr>
        <w:t>组织的出国团组</w:t>
      </w:r>
      <w:r>
        <w:rPr>
          <w:rFonts w:cs="仿宋_GB2312" w:asciiTheme="minorEastAsia" w:hAnsiTheme="minorEastAsia" w:eastAsiaTheme="minorEastAsia"/>
          <w:color w:val="333333"/>
          <w:sz w:val="28"/>
          <w:szCs w:val="28"/>
        </w:rPr>
        <w:t>0</w:t>
      </w:r>
      <w:r>
        <w:rPr>
          <w:rFonts w:cs="仿宋_GB2312" w:asciiTheme="minorEastAsia" w:hAnsiTheme="minorEastAsia" w:eastAsiaTheme="minorEastAsia"/>
          <w:sz w:val="28"/>
          <w:szCs w:val="28"/>
        </w:rPr>
        <w:t>个，参加其他部门出国团组0个；全年因公出国（境）累计</w:t>
      </w:r>
      <w:r>
        <w:rPr>
          <w:rFonts w:cs="仿宋_GB2312" w:asciiTheme="minorEastAsia" w:hAnsiTheme="minorEastAsia" w:eastAsiaTheme="minorEastAsia"/>
          <w:color w:val="333333"/>
          <w:sz w:val="28"/>
          <w:szCs w:val="28"/>
        </w:rPr>
        <w:t>0</w:t>
      </w:r>
      <w:r>
        <w:rPr>
          <w:rFonts w:cs="仿宋_GB2312" w:asciiTheme="minorEastAsia" w:hAnsiTheme="minorEastAsia" w:eastAsiaTheme="minorEastAsia"/>
          <w:sz w:val="28"/>
          <w:szCs w:val="28"/>
        </w:rPr>
        <w:t>人次。主要是本单位上</w:t>
      </w:r>
      <w:r>
        <w:rPr>
          <w:rFonts w:hint="default" w:cs="仿宋_GB2312" w:asciiTheme="minorEastAsia" w:hAnsiTheme="minorEastAsia" w:eastAsiaTheme="minorEastAsia"/>
          <w:sz w:val="28"/>
          <w:szCs w:val="28"/>
        </w:rPr>
        <w:t>下年均无因公出国（境）预算安排</w:t>
      </w:r>
      <w:r>
        <w:rPr>
          <w:rFonts w:cs="仿宋_GB2312" w:asciiTheme="minorEastAsia" w:hAnsiTheme="minorEastAsia" w:eastAsiaTheme="minorEastAsia"/>
          <w:sz w:val="28"/>
          <w:szCs w:val="28"/>
        </w:rPr>
        <w:t>。</w:t>
      </w:r>
    </w:p>
    <w:p>
      <w:pPr>
        <w:tabs>
          <w:tab w:val="left" w:pos="7513"/>
        </w:tabs>
        <w:adjustRightInd w:val="0"/>
        <w:snapToGrid w:val="0"/>
        <w:spacing w:before="100" w:beforeAutospacing="1" w:after="100" w:afterAutospacing="1" w:line="600" w:lineRule="exact"/>
        <w:ind w:firstLine="645"/>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（二）公务用车购置及运行费支出</w:t>
      </w:r>
      <w:r>
        <w:rPr>
          <w:rFonts w:hint="default" w:cs="仿宋_GB2312" w:asciiTheme="minorEastAsia" w:hAnsiTheme="minorEastAsia" w:eastAsiaTheme="minorEastAsia"/>
          <w:color w:val="333333"/>
          <w:sz w:val="28"/>
          <w:szCs w:val="28"/>
        </w:rPr>
        <w:t>0.79</w:t>
      </w:r>
      <w:r>
        <w:rPr>
          <w:rFonts w:cs="仿宋_GB2312" w:asciiTheme="minorEastAsia" w:hAnsiTheme="minorEastAsia" w:eastAsiaTheme="minorEastAsia"/>
          <w:sz w:val="28"/>
          <w:szCs w:val="28"/>
        </w:rPr>
        <w:t>万元，比本年预算的1</w:t>
      </w:r>
      <w:r>
        <w:rPr>
          <w:rFonts w:hint="default" w:cs="仿宋_GB2312" w:asciiTheme="minorEastAsia" w:hAnsiTheme="minorEastAsia" w:eastAsiaTheme="minorEastAsia"/>
          <w:sz w:val="28"/>
          <w:szCs w:val="28"/>
        </w:rPr>
        <w:t>.3</w:t>
      </w:r>
      <w:r>
        <w:rPr>
          <w:rFonts w:cs="仿宋_GB2312" w:asciiTheme="minorEastAsia" w:hAnsiTheme="minorEastAsia" w:eastAsiaTheme="minorEastAsia"/>
          <w:sz w:val="28"/>
          <w:szCs w:val="28"/>
        </w:rPr>
        <w:t>万元下降3</w:t>
      </w:r>
      <w:r>
        <w:rPr>
          <w:rFonts w:hint="default" w:cs="仿宋_GB2312" w:asciiTheme="minorEastAsia" w:hAnsiTheme="minorEastAsia" w:eastAsiaTheme="minorEastAsia"/>
          <w:sz w:val="28"/>
          <w:szCs w:val="28"/>
        </w:rPr>
        <w:t>9.23</w:t>
      </w:r>
      <w:r>
        <w:rPr>
          <w:rFonts w:cs="仿宋_GB2312" w:asciiTheme="minorEastAsia" w:hAnsiTheme="minorEastAsia" w:eastAsiaTheme="minorEastAsia"/>
          <w:sz w:val="28"/>
          <w:szCs w:val="28"/>
        </w:rPr>
        <w:t>%，主要是</w:t>
      </w:r>
      <w:r>
        <w:rPr>
          <w:rFonts w:asciiTheme="minorEastAsia" w:hAnsiTheme="minorEastAsia" w:eastAsiaTheme="minorEastAsia"/>
          <w:sz w:val="28"/>
          <w:szCs w:val="28"/>
        </w:rPr>
        <w:t>公务车辆经费厉行节约使用</w:t>
      </w:r>
      <w:r>
        <w:rPr>
          <w:rFonts w:cs="仿宋_GB2312" w:asciiTheme="minorEastAsia" w:hAnsiTheme="minorEastAsia" w:eastAsiaTheme="minorEastAsia"/>
          <w:sz w:val="28"/>
          <w:szCs w:val="28"/>
        </w:rPr>
        <w:t>。其中：</w:t>
      </w:r>
    </w:p>
    <w:p>
      <w:pPr>
        <w:tabs>
          <w:tab w:val="left" w:pos="7513"/>
        </w:tabs>
        <w:adjustRightInd w:val="0"/>
        <w:snapToGrid w:val="0"/>
        <w:spacing w:before="100" w:beforeAutospacing="1" w:after="100" w:afterAutospacing="1" w:line="600" w:lineRule="exact"/>
        <w:ind w:firstLine="645"/>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公务用车购置费支出</w:t>
      </w:r>
      <w:r>
        <w:rPr>
          <w:rFonts w:hint="default" w:cs="仿宋_GB2312" w:asciiTheme="minorEastAsia" w:hAnsiTheme="minorEastAsia" w:eastAsiaTheme="minorEastAsia"/>
          <w:color w:val="333333"/>
          <w:sz w:val="28"/>
          <w:szCs w:val="28"/>
        </w:rPr>
        <w:t>0</w:t>
      </w:r>
      <w:r>
        <w:rPr>
          <w:rFonts w:cs="仿宋_GB2312" w:asciiTheme="minorEastAsia" w:hAnsiTheme="minorEastAsia" w:eastAsiaTheme="minorEastAsia"/>
          <w:sz w:val="28"/>
          <w:szCs w:val="28"/>
        </w:rPr>
        <w:t>万元，比本年预算的0万元下降0%。</w:t>
      </w:r>
    </w:p>
    <w:p>
      <w:pPr>
        <w:ind w:firstLine="560" w:firstLineChars="200"/>
        <w:rPr>
          <w:rFonts w:hint="default"/>
          <w:sz w:val="28"/>
          <w:szCs w:val="28"/>
        </w:rPr>
      </w:pPr>
      <w:r>
        <w:rPr>
          <w:sz w:val="28"/>
          <w:szCs w:val="28"/>
        </w:rPr>
        <w:t>公务用车运行费支出0.79万元，比本年预算的1.3万元下降39.23%，主要是公务车辆经费厉行节约使用。截至2021年12月31日，本单位公务用车保有量为1辆。</w:t>
      </w:r>
    </w:p>
    <w:p>
      <w:pPr>
        <w:rPr>
          <w:rFonts w:hint="default"/>
          <w:sz w:val="28"/>
          <w:szCs w:val="28"/>
        </w:rPr>
      </w:pPr>
      <w:r>
        <w:rPr>
          <w:sz w:val="28"/>
          <w:szCs w:val="28"/>
        </w:rPr>
        <w:t>　　（三）公务接待费支出0万元，比本年预算的0万元下降0%。</w:t>
      </w:r>
    </w:p>
    <w:p>
      <w:pPr>
        <w:pStyle w:val="3"/>
        <w:ind w:left="481" w:leftChars="200" w:hanging="1"/>
        <w:rPr>
          <w:rFonts w:hint="default"/>
        </w:rPr>
      </w:pPr>
      <w:bookmarkStart w:id="148" w:name="_Toc31136"/>
      <w:bookmarkStart w:id="149" w:name="_Toc11014"/>
      <w:bookmarkStart w:id="150" w:name="_Toc13754"/>
      <w:bookmarkStart w:id="151" w:name="_Toc14546"/>
      <w:bookmarkStart w:id="152" w:name="_Toc6562"/>
      <w:bookmarkStart w:id="153" w:name="_Toc27357"/>
      <w:r>
        <w:t>七、预算绩效情况说明</w:t>
      </w:r>
      <w:bookmarkEnd w:id="148"/>
      <w:bookmarkEnd w:id="149"/>
      <w:bookmarkEnd w:id="150"/>
      <w:bookmarkEnd w:id="151"/>
      <w:bookmarkEnd w:id="152"/>
      <w:bookmarkEnd w:id="153"/>
    </w:p>
    <w:p>
      <w:pPr>
        <w:adjustRightInd w:val="0"/>
        <w:spacing w:beforeAutospacing="1" w:afterAutospacing="1" w:line="600" w:lineRule="exact"/>
        <w:ind w:firstLine="560" w:firstLineChars="200"/>
        <w:rPr>
          <w:rFonts w:hint="default" w:cs="宋体"/>
          <w:sz w:val="28"/>
          <w:szCs w:val="28"/>
        </w:rPr>
      </w:pPr>
      <w:r>
        <w:rPr>
          <w:rFonts w:cs="宋体"/>
          <w:sz w:val="28"/>
          <w:szCs w:val="28"/>
        </w:rPr>
        <w:t>2</w:t>
      </w:r>
      <w:r>
        <w:rPr>
          <w:rFonts w:hint="default" w:cs="宋体"/>
          <w:sz w:val="28"/>
          <w:szCs w:val="28"/>
        </w:rPr>
        <w:t>021</w:t>
      </w:r>
      <w:r>
        <w:rPr>
          <w:rFonts w:cs="宋体"/>
          <w:sz w:val="28"/>
          <w:szCs w:val="28"/>
        </w:rPr>
        <w:t>年度渣土</w:t>
      </w:r>
      <w:r>
        <w:rPr>
          <w:rFonts w:hint="default" w:cs="宋体"/>
          <w:sz w:val="28"/>
          <w:szCs w:val="28"/>
        </w:rPr>
        <w:t>处置中心</w:t>
      </w:r>
      <w:r>
        <w:rPr>
          <w:rFonts w:cs="宋体"/>
          <w:sz w:val="28"/>
          <w:szCs w:val="28"/>
        </w:rPr>
        <w:t>无部门评价项目。</w:t>
      </w:r>
    </w:p>
    <w:p>
      <w:pPr>
        <w:pStyle w:val="3"/>
        <w:ind w:firstLine="542" w:firstLineChars="150"/>
        <w:rPr>
          <w:rFonts w:hint="default" w:cs="宋体"/>
        </w:rPr>
      </w:pPr>
      <w:bookmarkStart w:id="154" w:name="_Toc22324"/>
      <w:bookmarkEnd w:id="154"/>
      <w:bookmarkStart w:id="155" w:name="_Toc9648"/>
      <w:bookmarkStart w:id="156" w:name="_Toc2025"/>
      <w:bookmarkStart w:id="157" w:name="_Toc28034"/>
      <w:bookmarkStart w:id="158" w:name="_Toc9647"/>
      <w:bookmarkStart w:id="159" w:name="_Toc24429"/>
      <w:bookmarkStart w:id="160" w:name="_Toc17909"/>
      <w:r>
        <w:rPr>
          <w:rFonts w:cs="宋体"/>
        </w:rPr>
        <w:t>八、其他重要事项说明</w:t>
      </w:r>
      <w:bookmarkEnd w:id="155"/>
      <w:bookmarkEnd w:id="156"/>
      <w:bookmarkEnd w:id="157"/>
      <w:bookmarkEnd w:id="158"/>
      <w:bookmarkEnd w:id="159"/>
      <w:bookmarkEnd w:id="160"/>
    </w:p>
    <w:p>
      <w:pPr>
        <w:ind w:firstLine="560" w:firstLineChars="200"/>
        <w:rPr>
          <w:rFonts w:hint="default"/>
          <w:sz w:val="28"/>
          <w:szCs w:val="28"/>
        </w:rPr>
      </w:pPr>
      <w:r>
        <w:rPr>
          <w:sz w:val="28"/>
          <w:szCs w:val="28"/>
        </w:rPr>
        <w:t xml:space="preserve">（一）机关运行经费 </w:t>
      </w:r>
    </w:p>
    <w:p>
      <w:pPr>
        <w:ind w:firstLine="560" w:firstLineChars="200"/>
        <w:rPr>
          <w:rFonts w:hint="default"/>
          <w:sz w:val="28"/>
          <w:szCs w:val="28"/>
        </w:rPr>
      </w:pPr>
      <w:r>
        <w:rPr>
          <w:sz w:val="28"/>
          <w:szCs w:val="28"/>
        </w:rPr>
        <w:t>渣土</w:t>
      </w:r>
      <w:r>
        <w:rPr>
          <w:rFonts w:hint="default"/>
          <w:sz w:val="28"/>
          <w:szCs w:val="28"/>
        </w:rPr>
        <w:t>处置</w:t>
      </w:r>
      <w:r>
        <w:rPr>
          <w:sz w:val="28"/>
          <w:szCs w:val="28"/>
        </w:rPr>
        <w:t>中心为事业单位没有机关运行经费。</w:t>
      </w:r>
    </w:p>
    <w:p>
      <w:pPr>
        <w:ind w:firstLine="560" w:firstLineChars="200"/>
        <w:rPr>
          <w:rFonts w:hint="default"/>
          <w:sz w:val="28"/>
          <w:szCs w:val="28"/>
        </w:rPr>
      </w:pPr>
      <w:r>
        <w:rPr>
          <w:sz w:val="28"/>
          <w:szCs w:val="28"/>
        </w:rPr>
        <w:t>（二）政府采购情况</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渣土</w:t>
      </w:r>
      <w:r>
        <w:rPr>
          <w:rFonts w:hint="default" w:asciiTheme="minorEastAsia" w:hAnsiTheme="minorEastAsia" w:eastAsiaTheme="minorEastAsia"/>
          <w:sz w:val="28"/>
          <w:szCs w:val="28"/>
        </w:rPr>
        <w:t>处置中心</w:t>
      </w:r>
      <w:r>
        <w:rPr>
          <w:rFonts w:asciiTheme="minorEastAsia" w:hAnsiTheme="minorEastAsia" w:eastAsiaTheme="minorEastAsia"/>
          <w:sz w:val="28"/>
          <w:szCs w:val="28"/>
        </w:rPr>
        <w:t>202</w:t>
      </w:r>
      <w:r>
        <w:rPr>
          <w:rFonts w:hint="default" w:asciiTheme="minorEastAsia" w:hAnsiTheme="minorEastAsia" w:eastAsiaTheme="minorEastAsia"/>
          <w:sz w:val="28"/>
          <w:szCs w:val="28"/>
        </w:rPr>
        <w:t>1</w:t>
      </w:r>
      <w:r>
        <w:rPr>
          <w:rFonts w:asciiTheme="minorEastAsia" w:hAnsiTheme="minorEastAsia" w:eastAsiaTheme="minorEastAsia"/>
          <w:sz w:val="28"/>
          <w:szCs w:val="28"/>
        </w:rPr>
        <w:t>年度政府采购支出总额</w:t>
      </w:r>
      <w:r>
        <w:rPr>
          <w:rFonts w:hint="default" w:asciiTheme="minorEastAsia" w:hAnsiTheme="minorEastAsia" w:eastAsiaTheme="minorEastAsia"/>
          <w:sz w:val="28"/>
          <w:szCs w:val="28"/>
        </w:rPr>
        <w:t>2.83</w:t>
      </w:r>
      <w:r>
        <w:rPr>
          <w:rFonts w:asciiTheme="minorEastAsia" w:hAnsiTheme="minorEastAsia" w:eastAsiaTheme="minorEastAsia"/>
          <w:sz w:val="28"/>
          <w:szCs w:val="28"/>
        </w:rPr>
        <w:t>万元，其中：</w:t>
      </w:r>
      <w:r>
        <w:rPr>
          <w:rFonts w:cs="仿宋_GB2312" w:asciiTheme="minorEastAsia" w:hAnsiTheme="minorEastAsia" w:eastAsiaTheme="minorEastAsia"/>
          <w:sz w:val="28"/>
          <w:szCs w:val="28"/>
        </w:rPr>
        <w:t>政府采购货物支出</w:t>
      </w:r>
      <w:r>
        <w:rPr>
          <w:rFonts w:hint="default" w:cs="仿宋_GB2312" w:asciiTheme="minorEastAsia" w:hAnsiTheme="minorEastAsia" w:eastAsiaTheme="minorEastAsia"/>
          <w:color w:val="333333"/>
          <w:sz w:val="28"/>
          <w:szCs w:val="28"/>
        </w:rPr>
        <w:t>2.83</w:t>
      </w:r>
      <w:r>
        <w:rPr>
          <w:rFonts w:cs="仿宋_GB2312" w:asciiTheme="minorEastAsia" w:hAnsiTheme="minorEastAsia" w:eastAsiaTheme="minorEastAsia"/>
          <w:sz w:val="28"/>
          <w:szCs w:val="28"/>
        </w:rPr>
        <w:t>万元、政府采购工程支出</w:t>
      </w:r>
      <w:r>
        <w:rPr>
          <w:rFonts w:hint="default" w:cs="仿宋_GB2312" w:asciiTheme="minorEastAsia" w:hAnsiTheme="minorEastAsia" w:eastAsiaTheme="minorEastAsia"/>
          <w:color w:val="333333"/>
          <w:sz w:val="28"/>
          <w:szCs w:val="28"/>
        </w:rPr>
        <w:t>0</w:t>
      </w:r>
      <w:r>
        <w:rPr>
          <w:rFonts w:cs="仿宋_GB2312" w:asciiTheme="minorEastAsia" w:hAnsiTheme="minorEastAsia" w:eastAsiaTheme="minorEastAsia"/>
          <w:sz w:val="28"/>
          <w:szCs w:val="28"/>
        </w:rPr>
        <w:t>万元、政府采购服务支出</w:t>
      </w:r>
      <w:r>
        <w:rPr>
          <w:rFonts w:hint="default" w:cs="仿宋_GB2312" w:asciiTheme="minorEastAsia" w:hAnsiTheme="minorEastAsia" w:eastAsiaTheme="minorEastAsia"/>
          <w:color w:val="333333"/>
          <w:sz w:val="28"/>
          <w:szCs w:val="28"/>
        </w:rPr>
        <w:t>0</w:t>
      </w:r>
      <w:r>
        <w:rPr>
          <w:rFonts w:cs="仿宋_GB2312" w:asciiTheme="minorEastAsia" w:hAnsiTheme="minorEastAsia" w:eastAsiaTheme="minorEastAsia"/>
          <w:sz w:val="28"/>
          <w:szCs w:val="28"/>
        </w:rPr>
        <w:t>万元。授予中小企业合同金额</w:t>
      </w:r>
      <w:r>
        <w:rPr>
          <w:rFonts w:hint="default" w:cs="仿宋_GB2312" w:asciiTheme="minorEastAsia" w:hAnsiTheme="minorEastAsia" w:eastAsiaTheme="minorEastAsia"/>
          <w:color w:val="333333"/>
          <w:sz w:val="28"/>
          <w:szCs w:val="28"/>
        </w:rPr>
        <w:t>2.83</w:t>
      </w:r>
      <w:r>
        <w:rPr>
          <w:rFonts w:cs="仿宋_GB2312" w:asciiTheme="minorEastAsia" w:hAnsiTheme="minorEastAsia" w:eastAsiaTheme="minorEastAsia"/>
          <w:sz w:val="28"/>
          <w:szCs w:val="28"/>
        </w:rPr>
        <w:t>万元，占政府采购支出总额的1</w:t>
      </w:r>
      <w:r>
        <w:rPr>
          <w:rFonts w:hint="default" w:cs="仿宋_GB2312" w:asciiTheme="minorEastAsia" w:hAnsiTheme="minorEastAsia" w:eastAsiaTheme="minorEastAsia"/>
          <w:sz w:val="28"/>
          <w:szCs w:val="28"/>
        </w:rPr>
        <w:t>00</w:t>
      </w:r>
      <w:r>
        <w:rPr>
          <w:rFonts w:cs="仿宋_GB2312" w:asciiTheme="minorEastAsia" w:hAnsiTheme="minorEastAsia" w:eastAsiaTheme="minorEastAsia"/>
          <w:sz w:val="28"/>
          <w:szCs w:val="28"/>
        </w:rPr>
        <w:t>%，其中：授予小微企业合同金额</w:t>
      </w:r>
      <w:r>
        <w:rPr>
          <w:rFonts w:hint="default" w:cs="仿宋_GB2312" w:asciiTheme="minorEastAsia" w:hAnsiTheme="minorEastAsia" w:eastAsiaTheme="minorEastAsia"/>
          <w:color w:val="333333"/>
          <w:sz w:val="28"/>
          <w:szCs w:val="28"/>
        </w:rPr>
        <w:t>2.83</w:t>
      </w:r>
      <w:r>
        <w:rPr>
          <w:rFonts w:cs="仿宋_GB2312" w:asciiTheme="minorEastAsia" w:hAnsiTheme="minorEastAsia" w:eastAsiaTheme="minorEastAsia"/>
          <w:sz w:val="28"/>
          <w:szCs w:val="28"/>
        </w:rPr>
        <w:t>万元，占授予中小企业合同金额的</w:t>
      </w:r>
      <w:r>
        <w:rPr>
          <w:rFonts w:hint="default" w:cs="仿宋_GB2312" w:asciiTheme="minorEastAsia" w:hAnsiTheme="minorEastAsia" w:eastAsiaTheme="minorEastAsia"/>
          <w:sz w:val="28"/>
          <w:szCs w:val="28"/>
        </w:rPr>
        <w:t>100</w:t>
      </w:r>
      <w:r>
        <w:rPr>
          <w:rFonts w:cs="仿宋_GB2312" w:asciiTheme="minorEastAsia" w:hAnsiTheme="minorEastAsia" w:eastAsiaTheme="minorEastAsia"/>
          <w:sz w:val="28"/>
          <w:szCs w:val="28"/>
        </w:rPr>
        <w:t>%；货物采购授予中小企业合同金额占货物支出金额的</w:t>
      </w:r>
      <w:r>
        <w:rPr>
          <w:rFonts w:hint="default" w:cs="仿宋_GB2312" w:asciiTheme="minorEastAsia" w:hAnsiTheme="minorEastAsia" w:eastAsiaTheme="minorEastAsia"/>
          <w:sz w:val="28"/>
          <w:szCs w:val="28"/>
        </w:rPr>
        <w:t>100</w:t>
      </w:r>
      <w:r>
        <w:rPr>
          <w:rFonts w:cs="仿宋_GB2312" w:asciiTheme="minorEastAsia" w:hAnsiTheme="minorEastAsia" w:eastAsiaTheme="minorEastAsia"/>
          <w:sz w:val="28"/>
          <w:szCs w:val="28"/>
        </w:rPr>
        <w:t>%，工程采购授予中小企业合同金额占工程支出金额的</w:t>
      </w:r>
      <w:r>
        <w:rPr>
          <w:rFonts w:hint="default" w:cs="仿宋_GB2312" w:asciiTheme="minorEastAsia" w:hAnsiTheme="minorEastAsia" w:eastAsiaTheme="minorEastAsia"/>
          <w:sz w:val="28"/>
          <w:szCs w:val="28"/>
        </w:rPr>
        <w:t>0</w:t>
      </w:r>
      <w:r>
        <w:rPr>
          <w:rFonts w:cs="仿宋_GB2312" w:asciiTheme="minorEastAsia" w:hAnsiTheme="minorEastAsia" w:eastAsiaTheme="minorEastAsia"/>
          <w:sz w:val="28"/>
          <w:szCs w:val="28"/>
        </w:rPr>
        <w:t>%，服务采购授予中小企业合同金额占服务支出金额的</w:t>
      </w:r>
      <w:r>
        <w:rPr>
          <w:rFonts w:hint="default" w:cs="仿宋_GB2312" w:asciiTheme="minorEastAsia" w:hAnsiTheme="minorEastAsia" w:eastAsiaTheme="minorEastAsia"/>
          <w:sz w:val="28"/>
          <w:szCs w:val="28"/>
        </w:rPr>
        <w:t>0</w:t>
      </w:r>
      <w:r>
        <w:rPr>
          <w:rFonts w:cs="仿宋_GB2312" w:asciiTheme="minorEastAsia" w:hAnsiTheme="minorEastAsia" w:eastAsiaTheme="minorEastAsia"/>
          <w:sz w:val="28"/>
          <w:szCs w:val="28"/>
        </w:rPr>
        <w:t>%。</w:t>
      </w:r>
    </w:p>
    <w:p>
      <w:pPr>
        <w:ind w:firstLine="560" w:firstLineChars="200"/>
        <w:rPr>
          <w:rFonts w:hint="default"/>
          <w:sz w:val="28"/>
          <w:szCs w:val="28"/>
        </w:rPr>
      </w:pPr>
      <w:r>
        <w:rPr>
          <w:sz w:val="28"/>
          <w:szCs w:val="28"/>
        </w:rPr>
        <w:t xml:space="preserve">（三）国有资产占用使用情况 </w:t>
      </w:r>
    </w:p>
    <w:p>
      <w:pPr>
        <w:ind w:firstLine="560" w:firstLineChars="200"/>
        <w:rPr>
          <w:rFonts w:hint="default"/>
          <w:sz w:val="28"/>
          <w:szCs w:val="28"/>
        </w:rPr>
      </w:pPr>
      <w:r>
        <w:rPr>
          <w:sz w:val="28"/>
          <w:szCs w:val="28"/>
        </w:rPr>
        <w:t>截至202</w:t>
      </w:r>
      <w:r>
        <w:rPr>
          <w:rFonts w:hint="default"/>
          <w:sz w:val="28"/>
          <w:szCs w:val="28"/>
        </w:rPr>
        <w:t>1</w:t>
      </w:r>
      <w:r>
        <w:rPr>
          <w:sz w:val="28"/>
          <w:szCs w:val="28"/>
        </w:rPr>
        <w:t>年12月31日，</w:t>
      </w:r>
      <w:r>
        <w:rPr>
          <w:rFonts w:hint="eastAsia"/>
          <w:sz w:val="28"/>
          <w:szCs w:val="28"/>
          <w:lang w:eastAsia="zh-CN"/>
        </w:rPr>
        <w:t>本单位</w:t>
      </w:r>
      <w:r>
        <w:rPr>
          <w:sz w:val="28"/>
          <w:szCs w:val="28"/>
        </w:rPr>
        <w:t>共有车辆10辆，其中：副部（省）级以上领导用车0辆、主要领导干部用车0辆、机要通信用车1辆、应急保障用车0辆、执法执勤用车0辆、特种专业技术用车0辆、离退休干部用车0辆、其他用车9辆；单价50万元（含）以上通用设备0台（套），单价100万元（含）以上专用设备0台（套）。</w:t>
      </w:r>
    </w:p>
    <w:p>
      <w:pPr>
        <w:adjustRightInd w:val="0"/>
        <w:spacing w:beforeAutospacing="1" w:afterAutospacing="1" w:line="600" w:lineRule="exact"/>
        <w:ind w:firstLine="640" w:firstLineChars="200"/>
        <w:rPr>
          <w:rFonts w:hint="default" w:cs="宋体"/>
          <w:sz w:val="32"/>
          <w:szCs w:val="32"/>
        </w:rPr>
      </w:pPr>
      <w:r>
        <w:rPr>
          <w:rFonts w:cs="宋体"/>
          <w:sz w:val="32"/>
          <w:szCs w:val="32"/>
        </w:rPr>
        <w:t xml:space="preserve"> </w:t>
      </w: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adjustRightInd w:val="0"/>
        <w:spacing w:beforeAutospacing="1" w:afterAutospacing="1" w:line="600" w:lineRule="exact"/>
        <w:ind w:firstLine="640" w:firstLineChars="200"/>
        <w:rPr>
          <w:rFonts w:hint="default" w:cs="宋体"/>
          <w:sz w:val="32"/>
          <w:szCs w:val="32"/>
        </w:rPr>
      </w:pPr>
    </w:p>
    <w:p>
      <w:pPr>
        <w:pStyle w:val="2"/>
        <w:jc w:val="center"/>
        <w:rPr>
          <w:rFonts w:hint="default" w:cs="宋体"/>
        </w:rPr>
      </w:pPr>
      <w:bookmarkStart w:id="161" w:name="_Toc17091"/>
      <w:bookmarkEnd w:id="161"/>
      <w:bookmarkStart w:id="162" w:name="_Toc10151"/>
      <w:bookmarkStart w:id="163" w:name="_Toc30537"/>
      <w:bookmarkStart w:id="164" w:name="_Toc6140"/>
      <w:bookmarkStart w:id="165" w:name="_Toc5239"/>
      <w:bookmarkStart w:id="166" w:name="_Toc31416"/>
      <w:bookmarkStart w:id="167" w:name="_Toc23527"/>
      <w:r>
        <w:rPr>
          <w:rFonts w:cs="宋体"/>
        </w:rPr>
        <w:t>第四部分 名词解释</w:t>
      </w:r>
      <w:bookmarkEnd w:id="162"/>
      <w:bookmarkEnd w:id="163"/>
      <w:bookmarkEnd w:id="164"/>
      <w:bookmarkEnd w:id="165"/>
      <w:bookmarkEnd w:id="166"/>
      <w:bookmarkEnd w:id="167"/>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一、一般公共预算财政拨款收入：指市级财政当年拨付的资金。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二、事业收入：指事业单位开展专业业务活动及辅助活动所取得的收入。</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三、经营收入：指事业单位在专业业务活动及其辅助活动之外开展非独立核算经营活动取得的收入。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四、其他收入：指除上述“财政拨款收入”、“事业收入”、“经营收入”等以外的收入。主要是事业单位固定资产出租收入、存款利息收入等。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五、使用非财政拨款结余：指事业单位使用以前年度积累的非财政拨款结余弥补当年收支差额的金额。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六、年初结转和结余：指单位以前年度尚未完成、结转到本年仍按原规定用途继续使用的资金，或项目已完成等产生的结余资金。</w:t>
      </w:r>
    </w:p>
    <w:p>
      <w:pPr>
        <w:pStyle w:val="22"/>
        <w:spacing w:line="600" w:lineRule="exact"/>
        <w:ind w:firstLine="640"/>
        <w:rPr>
          <w:rFonts w:hint="default" w:cs="宋体"/>
          <w:bCs/>
          <w:sz w:val="28"/>
          <w:szCs w:val="28"/>
        </w:rPr>
      </w:pPr>
      <w:r>
        <w:rPr>
          <w:rFonts w:cs="宋体"/>
          <w:bCs/>
          <w:sz w:val="28"/>
          <w:szCs w:val="28"/>
        </w:rPr>
        <w:t xml:space="preserve">七、结余分配：指事业单位按照会计制度规定缴纳的所得税、提取的专用结余以及转入非财政拨款结余的金额等。 </w:t>
      </w:r>
    </w:p>
    <w:p>
      <w:pPr>
        <w:pStyle w:val="22"/>
        <w:spacing w:line="600" w:lineRule="exact"/>
        <w:ind w:firstLine="640"/>
        <w:rPr>
          <w:rFonts w:hint="default" w:cs="宋体"/>
          <w:bCs/>
          <w:sz w:val="28"/>
          <w:szCs w:val="28"/>
        </w:rPr>
      </w:pPr>
      <w:r>
        <w:rPr>
          <w:rFonts w:cs="宋体"/>
          <w:bCs/>
          <w:sz w:val="28"/>
          <w:szCs w:val="28"/>
        </w:rPr>
        <w:t xml:space="preserve">八、年末结转和结余：指单位按有关规定结转到下年或以后年度继续使用的资金，或项目已完成等产生的结余资金。 </w:t>
      </w:r>
    </w:p>
    <w:p>
      <w:pPr>
        <w:pStyle w:val="22"/>
        <w:spacing w:line="600" w:lineRule="exact"/>
        <w:ind w:firstLine="640"/>
        <w:rPr>
          <w:rFonts w:hint="default" w:cs="宋体"/>
          <w:bCs/>
          <w:sz w:val="28"/>
          <w:szCs w:val="28"/>
        </w:rPr>
      </w:pPr>
      <w:r>
        <w:rPr>
          <w:rFonts w:cs="宋体"/>
          <w:bCs/>
          <w:sz w:val="28"/>
          <w:szCs w:val="28"/>
        </w:rPr>
        <w:t xml:space="preserve">九、基本支出：指为保障机构正常运转、完成日常工作任务而发生的人员支出和公用支出。 </w:t>
      </w:r>
    </w:p>
    <w:p>
      <w:pPr>
        <w:pStyle w:val="22"/>
        <w:spacing w:line="600" w:lineRule="exact"/>
        <w:ind w:firstLine="640"/>
        <w:rPr>
          <w:rFonts w:hint="default" w:cs="宋体"/>
          <w:bCs/>
          <w:sz w:val="28"/>
          <w:szCs w:val="28"/>
        </w:rPr>
      </w:pPr>
      <w:r>
        <w:rPr>
          <w:rFonts w:cs="宋体"/>
          <w:bCs/>
          <w:sz w:val="28"/>
          <w:szCs w:val="28"/>
        </w:rPr>
        <w:t xml:space="preserve">十、项目支出：指在基本支出之外为完成特定行政任务和事业发展目标所发生的支出。 </w:t>
      </w:r>
    </w:p>
    <w:p>
      <w:pPr>
        <w:pStyle w:val="22"/>
        <w:spacing w:line="600" w:lineRule="exact"/>
        <w:ind w:firstLine="640"/>
        <w:rPr>
          <w:rFonts w:hint="default" w:cs="宋体"/>
          <w:bCs/>
          <w:sz w:val="28"/>
          <w:szCs w:val="28"/>
        </w:rPr>
      </w:pPr>
      <w:r>
        <w:rPr>
          <w:rFonts w:cs="宋体"/>
          <w:bCs/>
          <w:sz w:val="28"/>
          <w:szCs w:val="28"/>
        </w:rPr>
        <w:t xml:space="preserve">十一、经营支出：指事业单位在专业业务活动及其辅助活动之外开展非独立核算经营活动发生的支出。 </w:t>
      </w:r>
    </w:p>
    <w:p>
      <w:pPr>
        <w:pStyle w:val="22"/>
        <w:spacing w:line="600" w:lineRule="exact"/>
        <w:ind w:firstLine="640"/>
        <w:rPr>
          <w:rFonts w:hint="default" w:cs="宋体"/>
          <w:bCs/>
          <w:sz w:val="28"/>
          <w:szCs w:val="28"/>
        </w:rPr>
      </w:pPr>
      <w:r>
        <w:rPr>
          <w:rFonts w:cs="宋体"/>
          <w:bCs/>
          <w:sz w:val="28"/>
          <w:szCs w:val="28"/>
        </w:rPr>
        <w:t xml:space="preserve">十二、“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    </w:t>
      </w:r>
      <w:r>
        <w:rPr>
          <w:rFonts w:hint="default" w:cs="宋体"/>
          <w:bCs/>
          <w:sz w:val="28"/>
          <w:szCs w:val="28"/>
        </w:rPr>
        <w:t xml:space="preserve">  </w:t>
      </w:r>
      <w:r>
        <w:rPr>
          <w:rFonts w:cs="宋体"/>
          <w:bCs/>
          <w:sz w:val="28"/>
          <w:szCs w:val="28"/>
        </w:rPr>
        <w:t xml:space="preserve">过桥费、保险费、安全奖励费用等支出；公务接待费反映单位按规定开支的各类公务接待（含外宾接待）支出。 </w:t>
      </w:r>
    </w:p>
    <w:p>
      <w:pPr>
        <w:spacing w:beforeAutospacing="1" w:afterAutospacing="1"/>
        <w:ind w:firstLine="560" w:firstLineChars="200"/>
        <w:rPr>
          <w:rFonts w:hint="default" w:cs="宋体"/>
          <w:bCs/>
          <w:sz w:val="28"/>
          <w:szCs w:val="28"/>
        </w:rPr>
      </w:pPr>
      <w:r>
        <w:rPr>
          <w:rFonts w:cs="宋体"/>
          <w:bCs/>
          <w:color w:val="000000"/>
          <w:sz w:val="28"/>
          <w:szCs w:val="28"/>
        </w:rPr>
        <w:t>十三、机关运行经费：为保障行政单位（含参照公务员法管理的事业单位）运行用于购买货物和服务的各项资金，包括办公及印刷费、邮电费、差旅费、会议</w:t>
      </w:r>
      <w:r>
        <w:rPr>
          <w:rFonts w:cs="宋体"/>
          <w:bCs/>
          <w:sz w:val="28"/>
          <w:szCs w:val="28"/>
        </w:rPr>
        <w:t>费、福利费、日常维修费、专用材料及一般设备购置费、办公用房水电费、办公用房取暖费、办公用房物业管理费、公务用车运行维护费以及其他费用。</w:t>
      </w:r>
    </w:p>
    <w:p>
      <w:pPr>
        <w:spacing w:beforeAutospacing="1" w:afterAutospacing="1"/>
        <w:ind w:firstLine="640" w:firstLineChars="200"/>
        <w:rPr>
          <w:rFonts w:cs="宋体"/>
          <w:sz w:val="32"/>
          <w:szCs w:val="32"/>
        </w:rPr>
      </w:pPr>
      <w:r>
        <w:rPr>
          <w:rFonts w:cs="宋体"/>
          <w:sz w:val="32"/>
          <w:szCs w:val="32"/>
        </w:rPr>
        <w:t xml:space="preserve"> </w:t>
      </w:r>
    </w:p>
    <w:p>
      <w:pPr>
        <w:spacing w:beforeAutospacing="1" w:afterAutospacing="1"/>
        <w:ind w:firstLine="640" w:firstLineChars="200"/>
        <w:rPr>
          <w:rFonts w:cs="宋体"/>
          <w:sz w:val="32"/>
          <w:szCs w:val="32"/>
        </w:rPr>
      </w:pPr>
    </w:p>
    <w:p>
      <w:pPr>
        <w:spacing w:beforeAutospacing="1" w:afterAutospacing="1"/>
        <w:ind w:firstLine="640" w:firstLineChars="200"/>
        <w:rPr>
          <w:rFonts w:hint="default" w:cs="宋体"/>
          <w:sz w:val="32"/>
          <w:szCs w:val="32"/>
        </w:rPr>
      </w:pPr>
    </w:p>
    <w:p>
      <w:pPr>
        <w:pStyle w:val="2"/>
        <w:jc w:val="center"/>
        <w:rPr>
          <w:rFonts w:hint="default" w:cs="宋体"/>
        </w:rPr>
      </w:pPr>
      <w:bookmarkStart w:id="168" w:name="_Toc15315"/>
      <w:bookmarkEnd w:id="168"/>
      <w:bookmarkStart w:id="169" w:name="_Toc4802"/>
      <w:bookmarkStart w:id="170" w:name="_Toc314"/>
      <w:bookmarkStart w:id="171" w:name="_Toc0"/>
      <w:bookmarkStart w:id="172" w:name="_Toc930"/>
      <w:bookmarkStart w:id="173" w:name="_Toc27745"/>
      <w:bookmarkStart w:id="174" w:name="_Toc10632"/>
      <w:r>
        <w:rPr>
          <w:rFonts w:cs="宋体"/>
        </w:rPr>
        <w:t>第五部分 附件</w:t>
      </w:r>
      <w:bookmarkEnd w:id="169"/>
      <w:bookmarkEnd w:id="170"/>
      <w:bookmarkEnd w:id="171"/>
      <w:bookmarkEnd w:id="172"/>
      <w:bookmarkEnd w:id="173"/>
      <w:bookmarkEnd w:id="174"/>
    </w:p>
    <w:p>
      <w:pPr>
        <w:ind w:firstLine="560" w:firstLineChars="200"/>
        <w:rPr>
          <w:rFonts w:hint="default" w:cs="宋体"/>
          <w:sz w:val="32"/>
          <w:szCs w:val="32"/>
        </w:rPr>
      </w:pPr>
      <w:r>
        <w:rPr>
          <w:rFonts w:cs="宋体"/>
          <w:sz w:val="28"/>
          <w:szCs w:val="28"/>
        </w:rPr>
        <w:t>2</w:t>
      </w:r>
      <w:r>
        <w:rPr>
          <w:rFonts w:hint="default" w:cs="宋体"/>
          <w:sz w:val="28"/>
          <w:szCs w:val="28"/>
        </w:rPr>
        <w:t>021</w:t>
      </w:r>
      <w:r>
        <w:rPr>
          <w:rFonts w:cs="宋体"/>
          <w:sz w:val="28"/>
          <w:szCs w:val="28"/>
        </w:rPr>
        <w:t>年度渣土</w:t>
      </w:r>
      <w:r>
        <w:rPr>
          <w:rFonts w:hint="default" w:cs="宋体"/>
          <w:sz w:val="28"/>
          <w:szCs w:val="28"/>
        </w:rPr>
        <w:t>处置中心</w:t>
      </w:r>
      <w:r>
        <w:rPr>
          <w:rFonts w:cs="宋体"/>
          <w:sz w:val="28"/>
          <w:szCs w:val="28"/>
        </w:rPr>
        <w:t>无部门评价项目，</w:t>
      </w:r>
      <w:r>
        <w:rPr>
          <w:rFonts w:hint="default" w:cs="宋体"/>
          <w:sz w:val="28"/>
          <w:szCs w:val="28"/>
        </w:rPr>
        <w:t>因此无附件。</w:t>
      </w:r>
    </w:p>
    <w:sectPr>
      <w:footerReference r:id="rId3" w:type="default"/>
      <w:pgSz w:w="11915" w:h="16840"/>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rPr>
                          </w:pPr>
                          <w:r>
                            <w:fldChar w:fldCharType="begin"/>
                          </w:r>
                          <w:r>
                            <w:instrText xml:space="preserve"> PAGE  \* MERGEFORMAT </w:instrText>
                          </w:r>
                          <w:r>
                            <w:fldChar w:fldCharType="separate"/>
                          </w:r>
                          <w:r>
                            <w:rPr>
                              <w:rFonts w:hint="default"/>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rPr>
                        <w:rFonts w:hint="default"/>
                      </w:rP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A12D2"/>
    <w:multiLevelType w:val="singleLevel"/>
    <w:tmpl w:val="90DA12D2"/>
    <w:lvl w:ilvl="0" w:tentative="0">
      <w:start w:val="1"/>
      <w:numFmt w:val="chineseCounting"/>
      <w:suff w:val="nothing"/>
      <w:lvlText w:val="（%1）"/>
      <w:lvlJc w:val="left"/>
      <w:rPr>
        <w:rFonts w:hint="eastAsia"/>
      </w:rPr>
    </w:lvl>
  </w:abstractNum>
  <w:abstractNum w:abstractNumId="1">
    <w:nsid w:val="3453A8FE"/>
    <w:multiLevelType w:val="singleLevel"/>
    <w:tmpl w:val="3453A8FE"/>
    <w:lvl w:ilvl="0" w:tentative="0">
      <w:start w:val="2"/>
      <w:numFmt w:val="chineseCounting"/>
      <w:suff w:val="space"/>
      <w:lvlText w:val="第%1部分"/>
      <w:lvlJc w:val="left"/>
      <w:rPr>
        <w:rFonts w:hint="eastAsia"/>
      </w:rPr>
    </w:lvl>
  </w:abstractNum>
  <w:abstractNum w:abstractNumId="2">
    <w:nsid w:val="49976F0A"/>
    <w:multiLevelType w:val="singleLevel"/>
    <w:tmpl w:val="49976F0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jYxYjE0MjlmOGY3MjMwOWRhMzA3YjY5MWNkMWUifQ=="/>
  </w:docVars>
  <w:rsids>
    <w:rsidRoot w:val="005D4897"/>
    <w:rsid w:val="00001E72"/>
    <w:rsid w:val="00003460"/>
    <w:rsid w:val="000269DC"/>
    <w:rsid w:val="00072AF7"/>
    <w:rsid w:val="00094FD2"/>
    <w:rsid w:val="000B123D"/>
    <w:rsid w:val="000C0C93"/>
    <w:rsid w:val="001131EC"/>
    <w:rsid w:val="0017078E"/>
    <w:rsid w:val="00173C61"/>
    <w:rsid w:val="001D5F8B"/>
    <w:rsid w:val="001F57F0"/>
    <w:rsid w:val="00237E94"/>
    <w:rsid w:val="00275821"/>
    <w:rsid w:val="002B18E9"/>
    <w:rsid w:val="002F170A"/>
    <w:rsid w:val="0030411B"/>
    <w:rsid w:val="0036552A"/>
    <w:rsid w:val="003A30B4"/>
    <w:rsid w:val="003B68CD"/>
    <w:rsid w:val="0043155F"/>
    <w:rsid w:val="00485953"/>
    <w:rsid w:val="004A312B"/>
    <w:rsid w:val="004B6860"/>
    <w:rsid w:val="004D0748"/>
    <w:rsid w:val="00557F0C"/>
    <w:rsid w:val="00562807"/>
    <w:rsid w:val="0057578A"/>
    <w:rsid w:val="005775B2"/>
    <w:rsid w:val="005A6BCD"/>
    <w:rsid w:val="005B0162"/>
    <w:rsid w:val="005B74EF"/>
    <w:rsid w:val="005D4897"/>
    <w:rsid w:val="005E6268"/>
    <w:rsid w:val="006D0EB5"/>
    <w:rsid w:val="006D2AEB"/>
    <w:rsid w:val="006D4327"/>
    <w:rsid w:val="006F1898"/>
    <w:rsid w:val="006F3E34"/>
    <w:rsid w:val="007265EE"/>
    <w:rsid w:val="007327E1"/>
    <w:rsid w:val="00741062"/>
    <w:rsid w:val="00746F0B"/>
    <w:rsid w:val="00754395"/>
    <w:rsid w:val="0077362B"/>
    <w:rsid w:val="0077793A"/>
    <w:rsid w:val="00783057"/>
    <w:rsid w:val="007A19F2"/>
    <w:rsid w:val="007E0162"/>
    <w:rsid w:val="007E671D"/>
    <w:rsid w:val="007F7894"/>
    <w:rsid w:val="00843168"/>
    <w:rsid w:val="0085381D"/>
    <w:rsid w:val="00873D36"/>
    <w:rsid w:val="008758E0"/>
    <w:rsid w:val="00881F4D"/>
    <w:rsid w:val="00885DB1"/>
    <w:rsid w:val="008F50BC"/>
    <w:rsid w:val="009B48B8"/>
    <w:rsid w:val="009D1DEE"/>
    <w:rsid w:val="00A0016B"/>
    <w:rsid w:val="00A038F6"/>
    <w:rsid w:val="00A237FF"/>
    <w:rsid w:val="00A351FA"/>
    <w:rsid w:val="00A4428A"/>
    <w:rsid w:val="00A50D6F"/>
    <w:rsid w:val="00A533ED"/>
    <w:rsid w:val="00AB7466"/>
    <w:rsid w:val="00B21A0F"/>
    <w:rsid w:val="00B36FA9"/>
    <w:rsid w:val="00B7602C"/>
    <w:rsid w:val="00B92FE7"/>
    <w:rsid w:val="00BB4E5A"/>
    <w:rsid w:val="00BB57A9"/>
    <w:rsid w:val="00BC3766"/>
    <w:rsid w:val="00BE0FB0"/>
    <w:rsid w:val="00C076EF"/>
    <w:rsid w:val="00C11B73"/>
    <w:rsid w:val="00C14256"/>
    <w:rsid w:val="00C22732"/>
    <w:rsid w:val="00C24E39"/>
    <w:rsid w:val="00C40FD7"/>
    <w:rsid w:val="00C473E9"/>
    <w:rsid w:val="00C916E5"/>
    <w:rsid w:val="00C93476"/>
    <w:rsid w:val="00D370C1"/>
    <w:rsid w:val="00D4797A"/>
    <w:rsid w:val="00D548BB"/>
    <w:rsid w:val="00D6764B"/>
    <w:rsid w:val="00DA5B50"/>
    <w:rsid w:val="00DB0BE1"/>
    <w:rsid w:val="00DD1ACB"/>
    <w:rsid w:val="00E209B1"/>
    <w:rsid w:val="00E23A9D"/>
    <w:rsid w:val="00E429FE"/>
    <w:rsid w:val="00E7656B"/>
    <w:rsid w:val="00EE1FD8"/>
    <w:rsid w:val="00EF5113"/>
    <w:rsid w:val="00F4251D"/>
    <w:rsid w:val="00F62FF2"/>
    <w:rsid w:val="00F70FD0"/>
    <w:rsid w:val="00F72A13"/>
    <w:rsid w:val="00F962F1"/>
    <w:rsid w:val="00F96E72"/>
    <w:rsid w:val="00FB782E"/>
    <w:rsid w:val="02894FE7"/>
    <w:rsid w:val="03BE052C"/>
    <w:rsid w:val="04895421"/>
    <w:rsid w:val="04B67F2B"/>
    <w:rsid w:val="050E335E"/>
    <w:rsid w:val="0628706F"/>
    <w:rsid w:val="06741BA3"/>
    <w:rsid w:val="08601FDC"/>
    <w:rsid w:val="0D73363C"/>
    <w:rsid w:val="0D8B498A"/>
    <w:rsid w:val="1347205F"/>
    <w:rsid w:val="15250C56"/>
    <w:rsid w:val="171C23AD"/>
    <w:rsid w:val="17374524"/>
    <w:rsid w:val="1B1D60E5"/>
    <w:rsid w:val="1CFD6E0B"/>
    <w:rsid w:val="213D040F"/>
    <w:rsid w:val="22044FAB"/>
    <w:rsid w:val="23D6413E"/>
    <w:rsid w:val="24125639"/>
    <w:rsid w:val="24B6749F"/>
    <w:rsid w:val="24DC16EA"/>
    <w:rsid w:val="27BA38D0"/>
    <w:rsid w:val="28F92CD7"/>
    <w:rsid w:val="299523DE"/>
    <w:rsid w:val="29A4584A"/>
    <w:rsid w:val="2B025CAE"/>
    <w:rsid w:val="2B915A81"/>
    <w:rsid w:val="2BFA5A75"/>
    <w:rsid w:val="2D375849"/>
    <w:rsid w:val="34B16306"/>
    <w:rsid w:val="35FD0AE9"/>
    <w:rsid w:val="37C604AB"/>
    <w:rsid w:val="38B031C8"/>
    <w:rsid w:val="3916260B"/>
    <w:rsid w:val="3BB67B21"/>
    <w:rsid w:val="3D687B67"/>
    <w:rsid w:val="3DDD6FD3"/>
    <w:rsid w:val="3E9E77F8"/>
    <w:rsid w:val="3EC11213"/>
    <w:rsid w:val="40AB6B6B"/>
    <w:rsid w:val="40AD1C4B"/>
    <w:rsid w:val="415D2646"/>
    <w:rsid w:val="43CA57A9"/>
    <w:rsid w:val="45673C6A"/>
    <w:rsid w:val="475C5110"/>
    <w:rsid w:val="48CD6FE7"/>
    <w:rsid w:val="4AD87B12"/>
    <w:rsid w:val="4B661AC0"/>
    <w:rsid w:val="4E724CEA"/>
    <w:rsid w:val="529F3614"/>
    <w:rsid w:val="53740538"/>
    <w:rsid w:val="55BF5D9D"/>
    <w:rsid w:val="57804BC9"/>
    <w:rsid w:val="57BF7E71"/>
    <w:rsid w:val="59C13999"/>
    <w:rsid w:val="59C2116D"/>
    <w:rsid w:val="5A792B2B"/>
    <w:rsid w:val="5A823BF8"/>
    <w:rsid w:val="5EB30E8F"/>
    <w:rsid w:val="5F2A680B"/>
    <w:rsid w:val="5F8763E7"/>
    <w:rsid w:val="61171DE2"/>
    <w:rsid w:val="611E4DF0"/>
    <w:rsid w:val="6A1E1F62"/>
    <w:rsid w:val="6A5376C0"/>
    <w:rsid w:val="6C3311BD"/>
    <w:rsid w:val="6DAF4F06"/>
    <w:rsid w:val="6F4A13BE"/>
    <w:rsid w:val="709D2672"/>
    <w:rsid w:val="71992E94"/>
    <w:rsid w:val="731B17AF"/>
    <w:rsid w:val="776F3983"/>
    <w:rsid w:val="77B15AD9"/>
    <w:rsid w:val="78A6697F"/>
    <w:rsid w:val="7A867D2C"/>
    <w:rsid w:val="7D056258"/>
    <w:rsid w:val="7DC5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9"/>
    <w:pPr>
      <w:spacing w:beforeAutospacing="1" w:afterAutospacing="1"/>
      <w:outlineLvl w:val="0"/>
    </w:pPr>
    <w:rPr>
      <w:b/>
      <w:bCs/>
      <w:kern w:val="44"/>
      <w:sz w:val="48"/>
      <w:szCs w:val="48"/>
    </w:rPr>
  </w:style>
  <w:style w:type="paragraph" w:styleId="3">
    <w:name w:val="heading 2"/>
    <w:basedOn w:val="1"/>
    <w:next w:val="1"/>
    <w:qFormat/>
    <w:uiPriority w:val="9"/>
    <w:pPr>
      <w:spacing w:beforeAutospacing="1" w:afterAutospacing="1"/>
      <w:outlineLvl w:val="1"/>
    </w:pPr>
    <w:rPr>
      <w:b/>
      <w:bCs/>
      <w:sz w:val="36"/>
      <w:szCs w:val="36"/>
    </w:rPr>
  </w:style>
  <w:style w:type="paragraph" w:styleId="4">
    <w:name w:val="heading 3"/>
    <w:basedOn w:val="1"/>
    <w:next w:val="1"/>
    <w:qFormat/>
    <w:uiPriority w:val="9"/>
    <w:pPr>
      <w:spacing w:beforeAutospacing="1" w:afterAutospacing="1"/>
      <w:outlineLvl w:val="2"/>
    </w:pPr>
    <w:rPr>
      <w:b/>
      <w:bCs/>
      <w:sz w:val="27"/>
      <w:szCs w:val="27"/>
    </w:rPr>
  </w:style>
  <w:style w:type="paragraph" w:styleId="5">
    <w:name w:val="heading 4"/>
    <w:basedOn w:val="1"/>
    <w:next w:val="1"/>
    <w:qFormat/>
    <w:uiPriority w:val="9"/>
    <w:pPr>
      <w:spacing w:beforeAutospacing="1" w:afterAutospacing="1"/>
      <w:outlineLvl w:val="3"/>
    </w:pPr>
    <w:rPr>
      <w:b/>
      <w:bCs/>
    </w:rPr>
  </w:style>
  <w:style w:type="paragraph" w:styleId="6">
    <w:name w:val="heading 5"/>
    <w:basedOn w:val="1"/>
    <w:next w:val="1"/>
    <w:qFormat/>
    <w:uiPriority w:val="9"/>
    <w:pPr>
      <w:spacing w:beforeAutospacing="1" w:afterAutospacing="1"/>
      <w:outlineLvl w:val="4"/>
    </w:pPr>
    <w:rPr>
      <w:b/>
      <w:bCs/>
      <w:sz w:val="20"/>
      <w:szCs w:val="20"/>
    </w:rPr>
  </w:style>
  <w:style w:type="paragraph" w:styleId="7">
    <w:name w:val="heading 6"/>
    <w:basedOn w:val="1"/>
    <w:next w:val="1"/>
    <w:qFormat/>
    <w:uiPriority w:val="9"/>
    <w:pPr>
      <w:spacing w:beforeAutospacing="1" w:afterAutospacing="1"/>
      <w:outlineLvl w:val="5"/>
    </w:pPr>
    <w:rPr>
      <w:b/>
      <w:bCs/>
      <w:sz w:val="15"/>
      <w:szCs w:val="15"/>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rPr>
      <w:rFonts w:hint="default" w:ascii="Times New Roman" w:hAnsi="Times New Roman"/>
    </w:rPr>
  </w:style>
  <w:style w:type="paragraph" w:styleId="9">
    <w:name w:val="Balloon Text"/>
    <w:basedOn w:val="1"/>
    <w:link w:val="28"/>
    <w:qFormat/>
    <w:uiPriority w:val="0"/>
    <w:rPr>
      <w:sz w:val="18"/>
      <w:szCs w:val="18"/>
    </w:rPr>
  </w:style>
  <w:style w:type="paragraph" w:styleId="10">
    <w:name w:val="footer"/>
    <w:basedOn w:val="1"/>
    <w:qFormat/>
    <w:uiPriority w:val="0"/>
    <w:pPr>
      <w:snapToGrid w:val="0"/>
    </w:pPr>
    <w:rPr>
      <w:sz w:val="18"/>
      <w:szCs w:val="18"/>
    </w:rPr>
  </w:style>
  <w:style w:type="paragraph" w:styleId="11">
    <w:name w:val="header"/>
    <w:basedOn w:val="1"/>
    <w:qFormat/>
    <w:uiPriority w:val="0"/>
    <w:pPr>
      <w:pBdr>
        <w:bottom w:val="single" w:color="auto" w:sz="6" w:space="1"/>
      </w:pBdr>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sz w:val="20"/>
      <w:szCs w:val="20"/>
    </w:rPr>
  </w:style>
  <w:style w:type="paragraph" w:styleId="15">
    <w:name w:val="Normal (Web)"/>
    <w:basedOn w:val="1"/>
    <w:qFormat/>
    <w:uiPriority w:val="0"/>
    <w:pPr>
      <w:spacing w:beforeAutospacing="1" w:afterAutospacing="1"/>
    </w:pPr>
    <w:rPr>
      <w:rFonts w:hint="default" w:ascii="Times New Roman" w:hAnsi="Times New Roman"/>
    </w:rPr>
  </w:style>
  <w:style w:type="character" w:styleId="18">
    <w:name w:val="Hyperlink"/>
    <w:basedOn w:val="17"/>
    <w:qFormat/>
    <w:uiPriority w:val="0"/>
    <w:rPr>
      <w:color w:val="0000FF"/>
      <w:u w:val="single"/>
    </w:rPr>
  </w:style>
  <w:style w:type="character" w:customStyle="1" w:styleId="19">
    <w:name w:val="16"/>
    <w:basedOn w:val="17"/>
    <w:qFormat/>
    <w:uiPriority w:val="0"/>
    <w:rPr>
      <w:rFonts w:hint="eastAsia" w:ascii="宋体" w:hAnsi="宋体" w:eastAsia="宋体" w:cs="宋体"/>
      <w:sz w:val="18"/>
      <w:szCs w:val="18"/>
    </w:rPr>
  </w:style>
  <w:style w:type="character" w:customStyle="1" w:styleId="20">
    <w:name w:val="10"/>
    <w:basedOn w:val="17"/>
    <w:qFormat/>
    <w:uiPriority w:val="0"/>
    <w:rPr>
      <w:rFonts w:hint="default" w:ascii="Times New Roman" w:hAnsi="Times New Roman" w:cs="Times New Roman"/>
    </w:rPr>
  </w:style>
  <w:style w:type="character" w:customStyle="1" w:styleId="21">
    <w:name w:val="15"/>
    <w:basedOn w:val="17"/>
    <w:qFormat/>
    <w:uiPriority w:val="0"/>
    <w:rPr>
      <w:rFonts w:hint="eastAsia" w:ascii="宋体" w:hAnsi="宋体" w:eastAsia="宋体" w:cs="宋体"/>
      <w:sz w:val="18"/>
      <w:szCs w:val="18"/>
    </w:rPr>
  </w:style>
  <w:style w:type="paragraph" w:customStyle="1" w:styleId="22">
    <w:name w:val="default"/>
    <w:basedOn w:val="1"/>
    <w:qFormat/>
    <w:uiPriority w:val="0"/>
    <w:pPr>
      <w:spacing w:beforeAutospacing="1" w:afterAutospacing="1"/>
    </w:pPr>
  </w:style>
  <w:style w:type="paragraph" w:customStyle="1" w:styleId="23">
    <w:name w:val="HTML 预设格式 Char"/>
    <w:basedOn w:val="1"/>
    <w: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sz w:val="20"/>
      <w:szCs w:val="20"/>
    </w:rPr>
  </w:style>
  <w:style w:type="paragraph" w:customStyle="1" w:styleId="24">
    <w:name w:val="普通(网站) Char"/>
    <w:basedOn w:val="1"/>
    <w:hidden/>
    <w:qFormat/>
    <w:uiPriority w:val="0"/>
    <w:pPr>
      <w:spacing w:beforeAutospacing="1" w:afterAutospacing="1"/>
    </w:pPr>
    <w:rPr>
      <w:rFonts w:hint="default" w:ascii="Times New Roman" w:hAnsi="Times New Roman"/>
    </w:rPr>
  </w:style>
  <w:style w:type="paragraph" w:customStyle="1" w:styleId="25">
    <w:name w:val="msolistparagraph"/>
    <w:basedOn w:val="1"/>
    <w:qFormat/>
    <w:uiPriority w:val="0"/>
    <w:pPr>
      <w:spacing w:beforeAutospacing="1" w:afterAutospacing="1"/>
    </w:pPr>
  </w:style>
  <w:style w:type="paragraph" w:customStyle="1" w:styleId="26">
    <w:name w:val="WPSOffice手动目录 1"/>
    <w:basedOn w:val="1"/>
    <w:qFormat/>
    <w:uiPriority w:val="0"/>
    <w:rPr>
      <w:rFonts w:hint="default" w:ascii="Times New Roman" w:hAnsi="Times New Roman"/>
      <w:sz w:val="20"/>
      <w:szCs w:val="20"/>
    </w:rPr>
  </w:style>
  <w:style w:type="paragraph" w:customStyle="1" w:styleId="27">
    <w:name w:val="WPSOffice手动目录 2"/>
    <w:basedOn w:val="1"/>
    <w:qFormat/>
    <w:uiPriority w:val="0"/>
    <w:pPr>
      <w:ind w:left="200" w:leftChars="200"/>
    </w:pPr>
    <w:rPr>
      <w:rFonts w:hint="default" w:ascii="Times New Roman" w:hAnsi="Times New Roman"/>
      <w:sz w:val="20"/>
      <w:szCs w:val="20"/>
    </w:rPr>
  </w:style>
  <w:style w:type="character" w:customStyle="1" w:styleId="28">
    <w:name w:val="批注框文本 Char"/>
    <w:basedOn w:val="17"/>
    <w:link w:val="9"/>
    <w:qFormat/>
    <w:uiPriority w:val="0"/>
    <w:rPr>
      <w:rFonts w:ascii="宋体" w:hAnsi="宋体"/>
      <w:sz w:val="18"/>
      <w:szCs w:val="18"/>
    </w:rPr>
  </w:style>
  <w:style w:type="paragraph" w:styleId="2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2013</Words>
  <Characters>11478</Characters>
  <Lines>95</Lines>
  <Paragraphs>26</Paragraphs>
  <TotalTime>327</TotalTime>
  <ScaleCrop>false</ScaleCrop>
  <LinksUpToDate>false</LinksUpToDate>
  <CharactersWithSpaces>13465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2021-07-27T09:46:00Z</dcterms:created>
  <dc:creator>Lenovo</dc:creator>
  <cp:lastModifiedBy>Lenovo</cp:lastModifiedBy>
  <cp:lastPrinted>2023-05-24T02:06:00Z</cp:lastPrinted>
  <dcterms:modified xsi:type="dcterms:W3CDTF">2023-09-04T02:42:56Z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39BAE22C61D64E7695312B1AA7C1443D_13</vt:lpwstr>
  </property>
</Properties>
</file>