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Autospacing="1" w:afterAutospacing="1"/>
        <w:jc w:val="center"/>
        <w:rPr>
          <w:rFonts w:hint="default" w:cs="宋体"/>
          <w:sz w:val="84"/>
          <w:szCs w:val="84"/>
        </w:rPr>
      </w:pPr>
      <w:r>
        <w:rPr>
          <w:rFonts w:cs="宋体"/>
          <w:sz w:val="84"/>
          <w:szCs w:val="84"/>
        </w:rPr>
        <w:t xml:space="preserve"> </w:t>
      </w:r>
    </w:p>
    <w:p>
      <w:pPr>
        <w:spacing w:beforeAutospacing="1" w:afterAutospacing="1"/>
        <w:jc w:val="center"/>
        <w:rPr>
          <w:rFonts w:hint="default" w:cs="宋体"/>
          <w:sz w:val="84"/>
          <w:szCs w:val="84"/>
        </w:rPr>
      </w:pPr>
      <w:r>
        <w:rPr>
          <w:rFonts w:cs="宋体"/>
          <w:sz w:val="84"/>
          <w:szCs w:val="84"/>
        </w:rPr>
        <w:t xml:space="preserve"> </w:t>
      </w:r>
    </w:p>
    <w:p>
      <w:pPr>
        <w:spacing w:beforeAutospacing="1" w:afterAutospacing="1"/>
        <w:jc w:val="center"/>
        <w:rPr>
          <w:rFonts w:hint="default" w:cs="宋体"/>
          <w:b/>
          <w:sz w:val="84"/>
          <w:szCs w:val="84"/>
        </w:rPr>
      </w:pPr>
      <w:r>
        <w:rPr>
          <w:rFonts w:cs="宋体"/>
          <w:b/>
          <w:sz w:val="84"/>
          <w:szCs w:val="84"/>
        </w:rPr>
        <w:t>2020年度</w:t>
      </w:r>
    </w:p>
    <w:p>
      <w:pPr>
        <w:jc w:val="center"/>
        <w:rPr>
          <w:rFonts w:hint="default" w:cs="宋体"/>
          <w:b/>
          <w:sz w:val="84"/>
          <w:szCs w:val="84"/>
        </w:rPr>
      </w:pPr>
      <w:r>
        <w:rPr>
          <w:rFonts w:cs="宋体"/>
          <w:b/>
          <w:sz w:val="84"/>
          <w:szCs w:val="84"/>
        </w:rPr>
        <w:t>福州市建筑</w:t>
      </w:r>
      <w:r>
        <w:rPr>
          <w:rFonts w:hint="default" w:cs="宋体"/>
          <w:b/>
          <w:sz w:val="84"/>
          <w:szCs w:val="84"/>
        </w:rPr>
        <w:t>垃圾工程渣土处置中心</w:t>
      </w:r>
      <w:r>
        <w:rPr>
          <w:rFonts w:cs="宋体"/>
          <w:b/>
          <w:sz w:val="84"/>
          <w:szCs w:val="84"/>
        </w:rPr>
        <w:t>决算</w:t>
      </w:r>
    </w:p>
    <w:p>
      <w:pPr>
        <w:pStyle w:val="2"/>
        <w:spacing w:line="480" w:lineRule="exact"/>
        <w:ind w:firstLine="1687"/>
        <w:rPr>
          <w:rFonts w:hint="default" w:cs="宋体"/>
          <w:b/>
          <w:sz w:val="84"/>
          <w:szCs w:val="84"/>
        </w:rPr>
      </w:pPr>
    </w:p>
    <w:p>
      <w:pPr>
        <w:pStyle w:val="2"/>
        <w:ind w:firstLine="1687"/>
        <w:rPr>
          <w:rFonts w:hint="default" w:cs="宋体"/>
          <w:b/>
          <w:sz w:val="84"/>
          <w:szCs w:val="84"/>
        </w:rPr>
      </w:pPr>
    </w:p>
    <w:p>
      <w:pPr>
        <w:pStyle w:val="2"/>
        <w:ind w:firstLine="640" w:firstLineChars="200"/>
        <w:rPr>
          <w:rFonts w:hint="default" w:cs="宋体"/>
          <w:bCs/>
          <w:sz w:val="32"/>
          <w:szCs w:val="32"/>
        </w:rPr>
      </w:pPr>
      <w:r>
        <w:rPr>
          <w:rFonts w:cs="宋体"/>
          <w:bCs/>
          <w:sz w:val="32"/>
          <w:szCs w:val="32"/>
        </w:rPr>
        <w:t xml:space="preserve">委分管领导：                  </w:t>
      </w:r>
      <w:r>
        <w:rPr>
          <w:rFonts w:hint="eastAsia" w:cs="宋体"/>
          <w:bCs/>
          <w:sz w:val="32"/>
          <w:szCs w:val="32"/>
          <w:lang w:val="en-US" w:eastAsia="zh-CN"/>
        </w:rPr>
        <w:t xml:space="preserve">         </w:t>
      </w:r>
      <w:r>
        <w:rPr>
          <w:rFonts w:cs="宋体"/>
          <w:bCs/>
          <w:sz w:val="32"/>
          <w:szCs w:val="32"/>
        </w:rPr>
        <w:t xml:space="preserve"> 中心领导：</w:t>
      </w:r>
    </w:p>
    <w:p>
      <w:pPr>
        <w:pStyle w:val="2"/>
        <w:ind w:firstLine="0" w:firstLineChars="0"/>
        <w:rPr>
          <w:rFonts w:hint="default" w:cs="宋体"/>
          <w:bCs/>
          <w:sz w:val="32"/>
          <w:szCs w:val="32"/>
        </w:rPr>
      </w:pPr>
    </w:p>
    <w:p>
      <w:pPr>
        <w:pStyle w:val="2"/>
        <w:ind w:firstLine="0" w:firstLineChars="0"/>
        <w:rPr>
          <w:rFonts w:hint="default" w:cs="宋体"/>
          <w:bCs/>
          <w:sz w:val="32"/>
          <w:szCs w:val="32"/>
        </w:rPr>
      </w:pPr>
    </w:p>
    <w:p>
      <w:pPr>
        <w:pStyle w:val="2"/>
        <w:ind w:firstLine="640" w:firstLineChars="200"/>
        <w:rPr>
          <w:rFonts w:hint="default" w:cs="宋体"/>
          <w:bCs/>
          <w:sz w:val="32"/>
          <w:szCs w:val="32"/>
        </w:rPr>
      </w:pPr>
      <w:r>
        <w:rPr>
          <w:rFonts w:cs="宋体"/>
          <w:bCs/>
          <w:sz w:val="32"/>
          <w:szCs w:val="32"/>
        </w:rPr>
        <w:t xml:space="preserve">财务负责人：                     </w:t>
      </w:r>
      <w:r>
        <w:rPr>
          <w:rFonts w:hint="eastAsia" w:cs="宋体"/>
          <w:bCs/>
          <w:sz w:val="32"/>
          <w:szCs w:val="32"/>
          <w:lang w:val="en-US" w:eastAsia="zh-CN"/>
        </w:rPr>
        <w:t xml:space="preserve">          </w:t>
      </w:r>
      <w:r>
        <w:rPr>
          <w:rFonts w:cs="宋体"/>
          <w:bCs/>
          <w:sz w:val="32"/>
          <w:szCs w:val="32"/>
        </w:rPr>
        <w:t xml:space="preserve">填报人： </w:t>
      </w:r>
      <w:bookmarkStart w:id="177" w:name="_GoBack"/>
      <w:bookmarkEnd w:id="177"/>
    </w:p>
    <w:p>
      <w:pPr>
        <w:spacing w:beforeAutospacing="1" w:afterAutospacing="1"/>
        <w:jc w:val="center"/>
        <w:rPr>
          <w:rFonts w:cs="宋体"/>
          <w:b/>
          <w:sz w:val="32"/>
          <w:szCs w:val="32"/>
        </w:rPr>
      </w:pPr>
    </w:p>
    <w:p>
      <w:pPr>
        <w:spacing w:beforeAutospacing="1" w:afterAutospacing="1"/>
        <w:jc w:val="center"/>
        <w:rPr>
          <w:rFonts w:cs="宋体"/>
          <w:b/>
          <w:sz w:val="32"/>
          <w:szCs w:val="32"/>
        </w:rPr>
      </w:pPr>
    </w:p>
    <w:p>
      <w:pPr>
        <w:spacing w:beforeAutospacing="1" w:afterAutospacing="1"/>
        <w:jc w:val="center"/>
        <w:rPr>
          <w:rFonts w:hint="default" w:cs="宋体"/>
          <w:b/>
          <w:sz w:val="32"/>
          <w:szCs w:val="32"/>
        </w:rPr>
      </w:pPr>
      <w:r>
        <w:rPr>
          <w:rFonts w:cs="宋体"/>
          <w:b/>
          <w:sz w:val="32"/>
          <w:szCs w:val="32"/>
        </w:rPr>
        <w:t xml:space="preserve"> </w:t>
      </w:r>
    </w:p>
    <w:sdt>
      <w:sdtPr>
        <w:rPr>
          <w:rFonts w:hint="eastAsia" w:ascii="宋体" w:hAnsi="宋体" w:eastAsia="宋体" w:cs="Times New Roman"/>
          <w:sz w:val="24"/>
          <w:szCs w:val="32"/>
          <w:lang w:val="en-US" w:eastAsia="zh-CN" w:bidi="ar-SA"/>
        </w:rPr>
        <w:id w:val="147453051"/>
        <w15:color w:val="DBDBDB"/>
        <w:docPartObj>
          <w:docPartGallery w:val="Table of Contents"/>
          <w:docPartUnique/>
        </w:docPartObj>
      </w:sdtPr>
      <w:sdtEndPr>
        <w:rPr>
          <w:rFonts w:hint="eastAsia" w:ascii="宋体" w:hAnsi="宋体" w:eastAsia="宋体" w:cs="Times New Roman"/>
          <w:b/>
          <w:sz w:val="24"/>
          <w:szCs w:val="32"/>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36"/>
              <w:szCs w:val="44"/>
            </w:rPr>
            <w:t>目录</w:t>
          </w:r>
        </w:p>
        <w:p>
          <w:pPr>
            <w:pStyle w:val="25"/>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b/>
              <w:sz w:val="28"/>
              <w:szCs w:val="28"/>
            </w:rPr>
          </w:pPr>
          <w:r>
            <w:rPr>
              <w:sz w:val="28"/>
              <w:szCs w:val="28"/>
            </w:rPr>
            <w:fldChar w:fldCharType="begin"/>
          </w:r>
          <w:r>
            <w:rPr>
              <w:sz w:val="28"/>
              <w:szCs w:val="28"/>
            </w:rPr>
            <w:instrText xml:space="preserve">TOC \o "1-2" \h \u </w:instrText>
          </w:r>
          <w:r>
            <w:rPr>
              <w:sz w:val="28"/>
              <w:szCs w:val="28"/>
            </w:rPr>
            <w:fldChar w:fldCharType="separate"/>
          </w:r>
          <w:r>
            <w:rPr>
              <w:b/>
              <w:sz w:val="28"/>
              <w:szCs w:val="28"/>
            </w:rPr>
            <w:fldChar w:fldCharType="begin"/>
          </w:r>
          <w:r>
            <w:rPr>
              <w:b/>
              <w:sz w:val="28"/>
              <w:szCs w:val="28"/>
            </w:rPr>
            <w:instrText xml:space="preserve"> HYPERLINK \l _Toc2801 </w:instrText>
          </w:r>
          <w:r>
            <w:rPr>
              <w:b/>
              <w:sz w:val="28"/>
              <w:szCs w:val="28"/>
            </w:rPr>
            <w:fldChar w:fldCharType="separate"/>
          </w:r>
          <w:r>
            <w:rPr>
              <w:rFonts w:cs="宋体"/>
              <w:b/>
              <w:sz w:val="28"/>
              <w:szCs w:val="28"/>
            </w:rPr>
            <w:t>第一部分 部门概况</w:t>
          </w:r>
          <w:r>
            <w:rPr>
              <w:b/>
              <w:sz w:val="28"/>
              <w:szCs w:val="28"/>
            </w:rPr>
            <w:tab/>
          </w:r>
          <w:r>
            <w:rPr>
              <w:b/>
              <w:sz w:val="28"/>
              <w:szCs w:val="28"/>
            </w:rPr>
            <w:fldChar w:fldCharType="begin"/>
          </w:r>
          <w:r>
            <w:rPr>
              <w:b/>
              <w:sz w:val="28"/>
              <w:szCs w:val="28"/>
            </w:rPr>
            <w:instrText xml:space="preserve"> PAGEREF _Toc2801 \h </w:instrText>
          </w:r>
          <w:r>
            <w:rPr>
              <w:b/>
              <w:sz w:val="28"/>
              <w:szCs w:val="28"/>
            </w:rPr>
            <w:fldChar w:fldCharType="separate"/>
          </w:r>
          <w:r>
            <w:rPr>
              <w:b/>
              <w:sz w:val="28"/>
              <w:szCs w:val="28"/>
            </w:rPr>
            <w:t>1</w:t>
          </w:r>
          <w:r>
            <w:rPr>
              <w:b/>
              <w:sz w:val="28"/>
              <w:szCs w:val="28"/>
            </w:rPr>
            <w:fldChar w:fldCharType="end"/>
          </w:r>
          <w:r>
            <w:rPr>
              <w:b/>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_Toc4503 </w:instrText>
          </w:r>
          <w:r>
            <w:rPr>
              <w:sz w:val="28"/>
              <w:szCs w:val="28"/>
            </w:rPr>
            <w:fldChar w:fldCharType="separate"/>
          </w:r>
          <w:r>
            <w:rPr>
              <w:rFonts w:cs="宋体"/>
              <w:sz w:val="28"/>
              <w:szCs w:val="28"/>
            </w:rPr>
            <w:t>一、部门主要职责</w:t>
          </w:r>
          <w:r>
            <w:rPr>
              <w:sz w:val="28"/>
              <w:szCs w:val="28"/>
            </w:rPr>
            <w:tab/>
          </w:r>
          <w:r>
            <w:rPr>
              <w:sz w:val="28"/>
              <w:szCs w:val="28"/>
            </w:rPr>
            <w:fldChar w:fldCharType="begin"/>
          </w:r>
          <w:r>
            <w:rPr>
              <w:sz w:val="28"/>
              <w:szCs w:val="28"/>
            </w:rPr>
            <w:instrText xml:space="preserve"> PAGEREF _Toc4503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_Toc657 </w:instrText>
          </w:r>
          <w:r>
            <w:rPr>
              <w:sz w:val="28"/>
              <w:szCs w:val="28"/>
            </w:rPr>
            <w:fldChar w:fldCharType="separate"/>
          </w:r>
          <w:r>
            <w:rPr>
              <w:rFonts w:cs="宋体"/>
              <w:sz w:val="28"/>
              <w:szCs w:val="28"/>
            </w:rPr>
            <w:t>二、部门决算单位基本情况</w:t>
          </w:r>
          <w:r>
            <w:rPr>
              <w:sz w:val="28"/>
              <w:szCs w:val="28"/>
            </w:rPr>
            <w:tab/>
          </w:r>
          <w:r>
            <w:rPr>
              <w:sz w:val="28"/>
              <w:szCs w:val="28"/>
            </w:rPr>
            <w:fldChar w:fldCharType="begin"/>
          </w:r>
          <w:r>
            <w:rPr>
              <w:sz w:val="28"/>
              <w:szCs w:val="28"/>
            </w:rPr>
            <w:instrText xml:space="preserve"> PAGEREF _Toc657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_Toc3284 </w:instrText>
          </w:r>
          <w:r>
            <w:rPr>
              <w:sz w:val="28"/>
              <w:szCs w:val="28"/>
            </w:rPr>
            <w:fldChar w:fldCharType="separate"/>
          </w:r>
          <w:r>
            <w:rPr>
              <w:rFonts w:cs="宋体"/>
              <w:sz w:val="28"/>
              <w:szCs w:val="28"/>
            </w:rPr>
            <w:t>三、部门主要工作总结</w:t>
          </w:r>
          <w:r>
            <w:rPr>
              <w:sz w:val="28"/>
              <w:szCs w:val="28"/>
            </w:rPr>
            <w:tab/>
          </w:r>
          <w:r>
            <w:rPr>
              <w:sz w:val="28"/>
              <w:szCs w:val="28"/>
            </w:rPr>
            <w:fldChar w:fldCharType="begin"/>
          </w:r>
          <w:r>
            <w:rPr>
              <w:sz w:val="28"/>
              <w:szCs w:val="28"/>
            </w:rPr>
            <w:instrText xml:space="preserve"> PAGEREF _Toc3284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5"/>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b/>
              <w:sz w:val="28"/>
              <w:szCs w:val="28"/>
            </w:rPr>
          </w:pPr>
          <w:r>
            <w:rPr>
              <w:b/>
              <w:sz w:val="28"/>
              <w:szCs w:val="28"/>
            </w:rPr>
            <w:fldChar w:fldCharType="begin"/>
          </w:r>
          <w:r>
            <w:rPr>
              <w:b/>
              <w:sz w:val="28"/>
              <w:szCs w:val="28"/>
            </w:rPr>
            <w:instrText xml:space="preserve"> HYPERLINK \l _Toc21159 </w:instrText>
          </w:r>
          <w:r>
            <w:rPr>
              <w:b/>
              <w:sz w:val="28"/>
              <w:szCs w:val="28"/>
            </w:rPr>
            <w:fldChar w:fldCharType="separate"/>
          </w:r>
          <w:r>
            <w:rPr>
              <w:rFonts w:hint="eastAsia" w:cs="宋体"/>
              <w:b/>
              <w:sz w:val="28"/>
              <w:szCs w:val="28"/>
            </w:rPr>
            <w:t xml:space="preserve">第二部分 </w:t>
          </w:r>
          <w:r>
            <w:rPr>
              <w:rFonts w:cs="宋体"/>
              <w:b/>
              <w:sz w:val="28"/>
              <w:szCs w:val="28"/>
            </w:rPr>
            <w:t>2020年度部门决算表</w:t>
          </w:r>
          <w:r>
            <w:rPr>
              <w:b/>
              <w:sz w:val="28"/>
              <w:szCs w:val="28"/>
            </w:rPr>
            <w:tab/>
          </w:r>
          <w:r>
            <w:rPr>
              <w:b/>
              <w:sz w:val="28"/>
              <w:szCs w:val="28"/>
            </w:rPr>
            <w:fldChar w:fldCharType="begin"/>
          </w:r>
          <w:r>
            <w:rPr>
              <w:b/>
              <w:sz w:val="28"/>
              <w:szCs w:val="28"/>
            </w:rPr>
            <w:instrText xml:space="preserve"> PAGEREF _Toc21159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_Toc7881 </w:instrText>
          </w:r>
          <w:r>
            <w:rPr>
              <w:sz w:val="28"/>
              <w:szCs w:val="28"/>
            </w:rPr>
            <w:fldChar w:fldCharType="separate"/>
          </w:r>
          <w:r>
            <w:rPr>
              <w:rFonts w:cs="宋体"/>
              <w:sz w:val="28"/>
              <w:szCs w:val="28"/>
            </w:rPr>
            <w:t>一、收入支出决算总表</w:t>
          </w:r>
          <w:r>
            <w:rPr>
              <w:sz w:val="28"/>
              <w:szCs w:val="28"/>
            </w:rPr>
            <w:tab/>
          </w:r>
          <w:r>
            <w:rPr>
              <w:sz w:val="28"/>
              <w:szCs w:val="28"/>
            </w:rPr>
            <w:fldChar w:fldCharType="begin"/>
          </w:r>
          <w:r>
            <w:rPr>
              <w:sz w:val="28"/>
              <w:szCs w:val="28"/>
            </w:rPr>
            <w:instrText xml:space="preserve"> PAGEREF _Toc7881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_Toc16194 </w:instrText>
          </w:r>
          <w:r>
            <w:rPr>
              <w:sz w:val="28"/>
              <w:szCs w:val="28"/>
            </w:rPr>
            <w:fldChar w:fldCharType="separate"/>
          </w:r>
          <w:r>
            <w:rPr>
              <w:rFonts w:cs="宋体"/>
              <w:sz w:val="28"/>
              <w:szCs w:val="28"/>
            </w:rPr>
            <w:t>二、收入决算表</w:t>
          </w:r>
          <w:r>
            <w:rPr>
              <w:sz w:val="28"/>
              <w:szCs w:val="28"/>
            </w:rPr>
            <w:tab/>
          </w:r>
          <w:r>
            <w:rPr>
              <w:sz w:val="28"/>
              <w:szCs w:val="28"/>
            </w:rPr>
            <w:fldChar w:fldCharType="begin"/>
          </w:r>
          <w:r>
            <w:rPr>
              <w:sz w:val="28"/>
              <w:szCs w:val="28"/>
            </w:rPr>
            <w:instrText xml:space="preserve"> PAGEREF _Toc16194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_Toc30255 </w:instrText>
          </w:r>
          <w:r>
            <w:rPr>
              <w:sz w:val="28"/>
              <w:szCs w:val="28"/>
            </w:rPr>
            <w:fldChar w:fldCharType="separate"/>
          </w:r>
          <w:r>
            <w:rPr>
              <w:rFonts w:cs="宋体"/>
              <w:sz w:val="28"/>
              <w:szCs w:val="28"/>
            </w:rPr>
            <w:t>三、支出决算表</w:t>
          </w:r>
          <w:r>
            <w:rPr>
              <w:sz w:val="28"/>
              <w:szCs w:val="28"/>
            </w:rPr>
            <w:tab/>
          </w:r>
          <w:r>
            <w:rPr>
              <w:sz w:val="28"/>
              <w:szCs w:val="28"/>
            </w:rPr>
            <w:fldChar w:fldCharType="begin"/>
          </w:r>
          <w:r>
            <w:rPr>
              <w:sz w:val="28"/>
              <w:szCs w:val="28"/>
            </w:rPr>
            <w:instrText xml:space="preserve"> PAGEREF _Toc30255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_Toc21388 </w:instrText>
          </w:r>
          <w:r>
            <w:rPr>
              <w:sz w:val="28"/>
              <w:szCs w:val="28"/>
            </w:rPr>
            <w:fldChar w:fldCharType="separate"/>
          </w:r>
          <w:r>
            <w:rPr>
              <w:rFonts w:cs="宋体"/>
              <w:sz w:val="28"/>
              <w:szCs w:val="28"/>
            </w:rPr>
            <w:t>四、财政拨款收入支出决算总表</w:t>
          </w:r>
          <w:r>
            <w:rPr>
              <w:sz w:val="28"/>
              <w:szCs w:val="28"/>
            </w:rPr>
            <w:tab/>
          </w:r>
          <w:r>
            <w:rPr>
              <w:sz w:val="28"/>
              <w:szCs w:val="28"/>
            </w:rPr>
            <w:fldChar w:fldCharType="begin"/>
          </w:r>
          <w:r>
            <w:rPr>
              <w:sz w:val="28"/>
              <w:szCs w:val="28"/>
            </w:rPr>
            <w:instrText xml:space="preserve"> PAGEREF _Toc21388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_Toc4982 </w:instrText>
          </w:r>
          <w:r>
            <w:rPr>
              <w:sz w:val="28"/>
              <w:szCs w:val="28"/>
            </w:rPr>
            <w:fldChar w:fldCharType="separate"/>
          </w:r>
          <w:r>
            <w:rPr>
              <w:rFonts w:cs="宋体"/>
              <w:sz w:val="28"/>
              <w:szCs w:val="28"/>
            </w:rPr>
            <w:t>五、一般公共预算财政拨款支出决算表</w:t>
          </w:r>
          <w:r>
            <w:rPr>
              <w:sz w:val="28"/>
              <w:szCs w:val="28"/>
            </w:rPr>
            <w:tab/>
          </w:r>
          <w:r>
            <w:rPr>
              <w:sz w:val="28"/>
              <w:szCs w:val="28"/>
            </w:rPr>
            <w:fldChar w:fldCharType="begin"/>
          </w:r>
          <w:r>
            <w:rPr>
              <w:sz w:val="28"/>
              <w:szCs w:val="28"/>
            </w:rPr>
            <w:instrText xml:space="preserve"> PAGEREF _Toc4982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_Toc28773 </w:instrText>
          </w:r>
          <w:r>
            <w:rPr>
              <w:sz w:val="28"/>
              <w:szCs w:val="28"/>
            </w:rPr>
            <w:fldChar w:fldCharType="separate"/>
          </w:r>
          <w:r>
            <w:rPr>
              <w:rFonts w:cs="宋体"/>
              <w:sz w:val="28"/>
              <w:szCs w:val="28"/>
            </w:rPr>
            <w:t>六、一般公共预算财政拨款基本支出决算表</w:t>
          </w:r>
          <w:r>
            <w:rPr>
              <w:sz w:val="28"/>
              <w:szCs w:val="28"/>
            </w:rPr>
            <w:tab/>
          </w:r>
          <w:r>
            <w:rPr>
              <w:sz w:val="28"/>
              <w:szCs w:val="28"/>
            </w:rPr>
            <w:fldChar w:fldCharType="begin"/>
          </w:r>
          <w:r>
            <w:rPr>
              <w:sz w:val="28"/>
              <w:szCs w:val="28"/>
            </w:rPr>
            <w:instrText xml:space="preserve"> PAGEREF _Toc28773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_Toc21891 </w:instrText>
          </w:r>
          <w:r>
            <w:rPr>
              <w:sz w:val="28"/>
              <w:szCs w:val="28"/>
            </w:rPr>
            <w:fldChar w:fldCharType="separate"/>
          </w:r>
          <w:r>
            <w:rPr>
              <w:rFonts w:cs="宋体"/>
              <w:sz w:val="28"/>
              <w:szCs w:val="28"/>
            </w:rPr>
            <w:t>七、一般公共预算财政拨款“三公”经费支出决算表</w:t>
          </w:r>
          <w:r>
            <w:rPr>
              <w:sz w:val="28"/>
              <w:szCs w:val="28"/>
            </w:rPr>
            <w:tab/>
          </w:r>
          <w:r>
            <w:rPr>
              <w:sz w:val="28"/>
              <w:szCs w:val="28"/>
            </w:rPr>
            <w:fldChar w:fldCharType="begin"/>
          </w:r>
          <w:r>
            <w:rPr>
              <w:sz w:val="28"/>
              <w:szCs w:val="28"/>
            </w:rPr>
            <w:instrText xml:space="preserve"> PAGEREF _Toc21891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_Toc31891 </w:instrText>
          </w:r>
          <w:r>
            <w:rPr>
              <w:sz w:val="28"/>
              <w:szCs w:val="28"/>
            </w:rPr>
            <w:fldChar w:fldCharType="separate"/>
          </w:r>
          <w:r>
            <w:rPr>
              <w:rFonts w:cs="宋体"/>
              <w:sz w:val="28"/>
              <w:szCs w:val="28"/>
            </w:rPr>
            <w:t>八、政府性基金预算财政拨款收入支出决算表</w:t>
          </w:r>
          <w:r>
            <w:rPr>
              <w:sz w:val="28"/>
              <w:szCs w:val="28"/>
            </w:rPr>
            <w:tab/>
          </w:r>
          <w:r>
            <w:rPr>
              <w:sz w:val="28"/>
              <w:szCs w:val="28"/>
            </w:rPr>
            <w:fldChar w:fldCharType="begin"/>
          </w:r>
          <w:r>
            <w:rPr>
              <w:sz w:val="28"/>
              <w:szCs w:val="28"/>
            </w:rPr>
            <w:instrText xml:space="preserve"> PAGEREF _Toc31891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_Toc26007 </w:instrText>
          </w:r>
          <w:r>
            <w:rPr>
              <w:sz w:val="28"/>
              <w:szCs w:val="28"/>
            </w:rPr>
            <w:fldChar w:fldCharType="separate"/>
          </w:r>
          <w:r>
            <w:rPr>
              <w:rFonts w:cs="宋体"/>
              <w:sz w:val="28"/>
              <w:szCs w:val="28"/>
            </w:rPr>
            <w:t>九、国有资本经营预算财政拨款支出决算表</w:t>
          </w:r>
          <w:r>
            <w:rPr>
              <w:sz w:val="28"/>
              <w:szCs w:val="28"/>
            </w:rPr>
            <w:tab/>
          </w:r>
          <w:r>
            <w:rPr>
              <w:sz w:val="28"/>
              <w:szCs w:val="28"/>
            </w:rPr>
            <w:fldChar w:fldCharType="begin"/>
          </w:r>
          <w:r>
            <w:rPr>
              <w:sz w:val="28"/>
              <w:szCs w:val="28"/>
            </w:rPr>
            <w:instrText xml:space="preserve"> PAGEREF _Toc26007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25"/>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b/>
              <w:sz w:val="28"/>
              <w:szCs w:val="28"/>
            </w:rPr>
          </w:pPr>
          <w:r>
            <w:rPr>
              <w:b/>
              <w:sz w:val="28"/>
              <w:szCs w:val="28"/>
            </w:rPr>
            <w:fldChar w:fldCharType="begin"/>
          </w:r>
          <w:r>
            <w:rPr>
              <w:b/>
              <w:sz w:val="28"/>
              <w:szCs w:val="28"/>
            </w:rPr>
            <w:instrText xml:space="preserve"> HYPERLINK \l _Toc11170 </w:instrText>
          </w:r>
          <w:r>
            <w:rPr>
              <w:b/>
              <w:sz w:val="28"/>
              <w:szCs w:val="28"/>
            </w:rPr>
            <w:fldChar w:fldCharType="separate"/>
          </w:r>
          <w:r>
            <w:rPr>
              <w:rFonts w:cs="宋体"/>
              <w:b/>
              <w:sz w:val="28"/>
              <w:szCs w:val="28"/>
            </w:rPr>
            <w:t>第三部分 2020年度部门决算情况说明</w:t>
          </w:r>
          <w:r>
            <w:rPr>
              <w:b/>
              <w:sz w:val="28"/>
              <w:szCs w:val="28"/>
            </w:rPr>
            <w:tab/>
          </w:r>
          <w:r>
            <w:rPr>
              <w:b/>
              <w:sz w:val="28"/>
              <w:szCs w:val="28"/>
            </w:rPr>
            <w:fldChar w:fldCharType="begin"/>
          </w:r>
          <w:r>
            <w:rPr>
              <w:b/>
              <w:sz w:val="28"/>
              <w:szCs w:val="28"/>
            </w:rPr>
            <w:instrText xml:space="preserve"> PAGEREF _Toc11170 \h </w:instrText>
          </w:r>
          <w:r>
            <w:rPr>
              <w:b/>
              <w:sz w:val="28"/>
              <w:szCs w:val="28"/>
            </w:rPr>
            <w:fldChar w:fldCharType="separate"/>
          </w:r>
          <w:r>
            <w:rPr>
              <w:b/>
              <w:sz w:val="28"/>
              <w:szCs w:val="28"/>
            </w:rPr>
            <w:t>11</w:t>
          </w:r>
          <w:r>
            <w:rPr>
              <w:b/>
              <w:sz w:val="28"/>
              <w:szCs w:val="28"/>
            </w:rPr>
            <w:fldChar w:fldCharType="end"/>
          </w:r>
          <w:r>
            <w:rPr>
              <w:b/>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_Toc17199 </w:instrText>
          </w:r>
          <w:r>
            <w:rPr>
              <w:sz w:val="28"/>
              <w:szCs w:val="28"/>
            </w:rPr>
            <w:fldChar w:fldCharType="separate"/>
          </w:r>
          <w:r>
            <w:rPr>
              <w:rFonts w:cs="宋体"/>
              <w:sz w:val="28"/>
              <w:szCs w:val="28"/>
            </w:rPr>
            <w:t>一、收入支出决算总体情况说明</w:t>
          </w:r>
          <w:r>
            <w:rPr>
              <w:sz w:val="28"/>
              <w:szCs w:val="28"/>
            </w:rPr>
            <w:tab/>
          </w:r>
          <w:r>
            <w:rPr>
              <w:sz w:val="28"/>
              <w:szCs w:val="28"/>
            </w:rPr>
            <w:fldChar w:fldCharType="begin"/>
          </w:r>
          <w:r>
            <w:rPr>
              <w:sz w:val="28"/>
              <w:szCs w:val="28"/>
            </w:rPr>
            <w:instrText xml:space="preserve"> PAGEREF _Toc17199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_Toc14514 </w:instrText>
          </w:r>
          <w:r>
            <w:rPr>
              <w:sz w:val="28"/>
              <w:szCs w:val="28"/>
            </w:rPr>
            <w:fldChar w:fldCharType="separate"/>
          </w:r>
          <w:r>
            <w:rPr>
              <w:rFonts w:cs="宋体"/>
              <w:sz w:val="28"/>
              <w:szCs w:val="28"/>
            </w:rPr>
            <w:t>二、一般公共预算拨款支出决算情况说明</w:t>
          </w:r>
          <w:r>
            <w:rPr>
              <w:sz w:val="28"/>
              <w:szCs w:val="28"/>
            </w:rPr>
            <w:tab/>
          </w:r>
          <w:r>
            <w:rPr>
              <w:sz w:val="28"/>
              <w:szCs w:val="28"/>
            </w:rPr>
            <w:fldChar w:fldCharType="begin"/>
          </w:r>
          <w:r>
            <w:rPr>
              <w:sz w:val="28"/>
              <w:szCs w:val="28"/>
            </w:rPr>
            <w:instrText xml:space="preserve"> PAGEREF _Toc14514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_Toc30744 </w:instrText>
          </w:r>
          <w:r>
            <w:rPr>
              <w:sz w:val="28"/>
              <w:szCs w:val="28"/>
            </w:rPr>
            <w:fldChar w:fldCharType="separate"/>
          </w:r>
          <w:r>
            <w:rPr>
              <w:rFonts w:cs="宋体"/>
              <w:sz w:val="28"/>
              <w:szCs w:val="28"/>
            </w:rPr>
            <w:t>三、政府性基金财政拨款支出决算情况说明</w:t>
          </w:r>
          <w:r>
            <w:rPr>
              <w:sz w:val="28"/>
              <w:szCs w:val="28"/>
            </w:rPr>
            <w:tab/>
          </w:r>
          <w:r>
            <w:rPr>
              <w:sz w:val="28"/>
              <w:szCs w:val="28"/>
            </w:rPr>
            <w:fldChar w:fldCharType="begin"/>
          </w:r>
          <w:r>
            <w:rPr>
              <w:sz w:val="28"/>
              <w:szCs w:val="28"/>
            </w:rPr>
            <w:instrText xml:space="preserve"> PAGEREF _Toc30744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_Toc7363 </w:instrText>
          </w:r>
          <w:r>
            <w:rPr>
              <w:sz w:val="28"/>
              <w:szCs w:val="28"/>
            </w:rPr>
            <w:fldChar w:fldCharType="separate"/>
          </w:r>
          <w:r>
            <w:rPr>
              <w:rFonts w:cs="宋体"/>
              <w:sz w:val="28"/>
              <w:szCs w:val="28"/>
            </w:rPr>
            <w:t>四、国有资本经营预算财政拨款支出决算情况说明</w:t>
          </w:r>
          <w:r>
            <w:rPr>
              <w:sz w:val="28"/>
              <w:szCs w:val="28"/>
            </w:rPr>
            <w:tab/>
          </w:r>
          <w:r>
            <w:rPr>
              <w:sz w:val="28"/>
              <w:szCs w:val="28"/>
            </w:rPr>
            <w:fldChar w:fldCharType="begin"/>
          </w:r>
          <w:r>
            <w:rPr>
              <w:sz w:val="28"/>
              <w:szCs w:val="28"/>
            </w:rPr>
            <w:instrText xml:space="preserve"> PAGEREF _Toc7363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_Toc32284 </w:instrText>
          </w:r>
          <w:r>
            <w:rPr>
              <w:sz w:val="28"/>
              <w:szCs w:val="28"/>
            </w:rPr>
            <w:fldChar w:fldCharType="separate"/>
          </w:r>
          <w:r>
            <w:rPr>
              <w:rFonts w:cs="宋体"/>
              <w:sz w:val="28"/>
              <w:szCs w:val="28"/>
            </w:rPr>
            <w:t>五、一般公共预算财政拨款基本支出决算情况说明</w:t>
          </w:r>
          <w:r>
            <w:rPr>
              <w:sz w:val="28"/>
              <w:szCs w:val="28"/>
            </w:rPr>
            <w:tab/>
          </w:r>
          <w:r>
            <w:rPr>
              <w:sz w:val="28"/>
              <w:szCs w:val="28"/>
            </w:rPr>
            <w:fldChar w:fldCharType="begin"/>
          </w:r>
          <w:r>
            <w:rPr>
              <w:sz w:val="28"/>
              <w:szCs w:val="28"/>
            </w:rPr>
            <w:instrText xml:space="preserve"> PAGEREF _Toc32284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_Toc17464 </w:instrText>
          </w:r>
          <w:r>
            <w:rPr>
              <w:sz w:val="28"/>
              <w:szCs w:val="28"/>
            </w:rPr>
            <w:fldChar w:fldCharType="separate"/>
          </w:r>
          <w:r>
            <w:rPr>
              <w:sz w:val="28"/>
              <w:szCs w:val="28"/>
            </w:rPr>
            <w:t>六、一般公共预算拨款“三公”经费支出决算情况</w:t>
          </w:r>
          <w:r>
            <w:rPr>
              <w:rFonts w:hint="eastAsia"/>
              <w:sz w:val="28"/>
              <w:szCs w:val="28"/>
              <w:lang w:val="en-US" w:eastAsia="zh-CN"/>
            </w:rPr>
            <w:t xml:space="preserve"> </w:t>
          </w:r>
          <w:r>
            <w:rPr>
              <w:sz w:val="28"/>
              <w:szCs w:val="28"/>
            </w:rPr>
            <w:t>说明</w:t>
          </w:r>
          <w:r>
            <w:rPr>
              <w:sz w:val="28"/>
              <w:szCs w:val="28"/>
            </w:rPr>
            <w:tab/>
          </w:r>
          <w:r>
            <w:rPr>
              <w:sz w:val="28"/>
              <w:szCs w:val="28"/>
            </w:rPr>
            <w:fldChar w:fldCharType="begin"/>
          </w:r>
          <w:r>
            <w:rPr>
              <w:sz w:val="28"/>
              <w:szCs w:val="28"/>
            </w:rPr>
            <w:instrText xml:space="preserve"> PAGEREF _Toc17464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_Toc27357 </w:instrText>
          </w:r>
          <w:r>
            <w:rPr>
              <w:sz w:val="28"/>
              <w:szCs w:val="28"/>
            </w:rPr>
            <w:fldChar w:fldCharType="separate"/>
          </w:r>
          <w:r>
            <w:rPr>
              <w:sz w:val="28"/>
              <w:szCs w:val="28"/>
            </w:rPr>
            <w:t>七、预算绩效情况说明</w:t>
          </w:r>
          <w:r>
            <w:rPr>
              <w:sz w:val="28"/>
              <w:szCs w:val="28"/>
            </w:rPr>
            <w:tab/>
          </w:r>
          <w:r>
            <w:rPr>
              <w:sz w:val="28"/>
              <w:szCs w:val="28"/>
            </w:rPr>
            <w:fldChar w:fldCharType="begin"/>
          </w:r>
          <w:r>
            <w:rPr>
              <w:sz w:val="28"/>
              <w:szCs w:val="28"/>
            </w:rPr>
            <w:instrText xml:space="preserve"> PAGEREF _Toc27357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6"/>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sz w:val="28"/>
              <w:szCs w:val="28"/>
            </w:rPr>
          </w:pPr>
          <w:r>
            <w:rPr>
              <w:sz w:val="28"/>
              <w:szCs w:val="28"/>
            </w:rPr>
            <w:fldChar w:fldCharType="begin"/>
          </w:r>
          <w:r>
            <w:rPr>
              <w:sz w:val="28"/>
              <w:szCs w:val="28"/>
            </w:rPr>
            <w:instrText xml:space="preserve"> HYPERLINK \l _Toc9648 </w:instrText>
          </w:r>
          <w:r>
            <w:rPr>
              <w:sz w:val="28"/>
              <w:szCs w:val="28"/>
            </w:rPr>
            <w:fldChar w:fldCharType="separate"/>
          </w:r>
          <w:r>
            <w:rPr>
              <w:rFonts w:cs="宋体"/>
              <w:sz w:val="28"/>
              <w:szCs w:val="28"/>
            </w:rPr>
            <w:t>八、其他重要事项说明</w:t>
          </w:r>
          <w:r>
            <w:rPr>
              <w:sz w:val="28"/>
              <w:szCs w:val="28"/>
            </w:rPr>
            <w:tab/>
          </w:r>
          <w:r>
            <w:rPr>
              <w:sz w:val="28"/>
              <w:szCs w:val="28"/>
            </w:rPr>
            <w:fldChar w:fldCharType="begin"/>
          </w:r>
          <w:r>
            <w:rPr>
              <w:sz w:val="28"/>
              <w:szCs w:val="28"/>
            </w:rPr>
            <w:instrText xml:space="preserve"> PAGEREF _Toc9648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5"/>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b/>
              <w:sz w:val="28"/>
              <w:szCs w:val="28"/>
            </w:rPr>
          </w:pPr>
          <w:r>
            <w:rPr>
              <w:b/>
              <w:sz w:val="28"/>
              <w:szCs w:val="28"/>
            </w:rPr>
            <w:fldChar w:fldCharType="begin"/>
          </w:r>
          <w:r>
            <w:rPr>
              <w:b/>
              <w:sz w:val="28"/>
              <w:szCs w:val="28"/>
            </w:rPr>
            <w:instrText xml:space="preserve"> HYPERLINK \l _Toc23527 </w:instrText>
          </w:r>
          <w:r>
            <w:rPr>
              <w:b/>
              <w:sz w:val="28"/>
              <w:szCs w:val="28"/>
            </w:rPr>
            <w:fldChar w:fldCharType="separate"/>
          </w:r>
          <w:r>
            <w:rPr>
              <w:rFonts w:cs="宋体"/>
              <w:b/>
              <w:sz w:val="28"/>
              <w:szCs w:val="28"/>
            </w:rPr>
            <w:t>第四部分 名词解释</w:t>
          </w:r>
          <w:r>
            <w:rPr>
              <w:b/>
              <w:sz w:val="28"/>
              <w:szCs w:val="28"/>
            </w:rPr>
            <w:tab/>
          </w:r>
          <w:r>
            <w:rPr>
              <w:b/>
              <w:sz w:val="28"/>
              <w:szCs w:val="28"/>
            </w:rPr>
            <w:fldChar w:fldCharType="begin"/>
          </w:r>
          <w:r>
            <w:rPr>
              <w:b/>
              <w:sz w:val="28"/>
              <w:szCs w:val="28"/>
            </w:rPr>
            <w:instrText xml:space="preserve"> PAGEREF _Toc23527 \h </w:instrText>
          </w:r>
          <w:r>
            <w:rPr>
              <w:b/>
              <w:sz w:val="28"/>
              <w:szCs w:val="28"/>
            </w:rPr>
            <w:fldChar w:fldCharType="separate"/>
          </w:r>
          <w:r>
            <w:rPr>
              <w:b/>
              <w:sz w:val="28"/>
              <w:szCs w:val="28"/>
            </w:rPr>
            <w:t>15</w:t>
          </w:r>
          <w:r>
            <w:rPr>
              <w:b/>
              <w:sz w:val="28"/>
              <w:szCs w:val="28"/>
            </w:rPr>
            <w:fldChar w:fldCharType="end"/>
          </w:r>
          <w:r>
            <w:rPr>
              <w:b/>
              <w:sz w:val="28"/>
              <w:szCs w:val="28"/>
            </w:rPr>
            <w:fldChar w:fldCharType="end"/>
          </w:r>
        </w:p>
        <w:p>
          <w:pPr>
            <w:pStyle w:val="25"/>
            <w:keepNext w:val="0"/>
            <w:keepLines w:val="0"/>
            <w:pageBreakBefore w:val="0"/>
            <w:widowControl/>
            <w:tabs>
              <w:tab w:val="right" w:leader="dot" w:pos="8315"/>
            </w:tabs>
            <w:kinsoku/>
            <w:wordWrap/>
            <w:overflowPunct/>
            <w:topLinePunct w:val="0"/>
            <w:autoSpaceDE/>
            <w:autoSpaceDN/>
            <w:bidi w:val="0"/>
            <w:adjustRightInd/>
            <w:snapToGrid/>
            <w:spacing w:line="500" w:lineRule="exact"/>
            <w:textAlignment w:val="auto"/>
            <w:rPr>
              <w:b/>
              <w:sz w:val="28"/>
              <w:szCs w:val="28"/>
            </w:rPr>
          </w:pPr>
          <w:r>
            <w:rPr>
              <w:b/>
              <w:sz w:val="28"/>
              <w:szCs w:val="28"/>
            </w:rPr>
            <w:fldChar w:fldCharType="begin"/>
          </w:r>
          <w:r>
            <w:rPr>
              <w:b/>
              <w:sz w:val="28"/>
              <w:szCs w:val="28"/>
            </w:rPr>
            <w:instrText xml:space="preserve"> HYPERLINK \l _Toc27745 </w:instrText>
          </w:r>
          <w:r>
            <w:rPr>
              <w:b/>
              <w:sz w:val="28"/>
              <w:szCs w:val="28"/>
            </w:rPr>
            <w:fldChar w:fldCharType="separate"/>
          </w:r>
          <w:r>
            <w:rPr>
              <w:rFonts w:cs="宋体"/>
              <w:b/>
              <w:sz w:val="28"/>
              <w:szCs w:val="28"/>
            </w:rPr>
            <w:t>第五部分 附件</w:t>
          </w:r>
          <w:r>
            <w:rPr>
              <w:b/>
              <w:sz w:val="28"/>
              <w:szCs w:val="28"/>
            </w:rPr>
            <w:tab/>
          </w:r>
          <w:r>
            <w:rPr>
              <w:b/>
              <w:sz w:val="28"/>
              <w:szCs w:val="28"/>
            </w:rPr>
            <w:fldChar w:fldCharType="begin"/>
          </w:r>
          <w:r>
            <w:rPr>
              <w:b/>
              <w:sz w:val="28"/>
              <w:szCs w:val="28"/>
            </w:rPr>
            <w:instrText xml:space="preserve"> PAGEREF _Toc27745 \h </w:instrText>
          </w:r>
          <w:r>
            <w:rPr>
              <w:b/>
              <w:sz w:val="28"/>
              <w:szCs w:val="28"/>
            </w:rPr>
            <w:fldChar w:fldCharType="separate"/>
          </w:r>
          <w:r>
            <w:rPr>
              <w:b/>
              <w:sz w:val="28"/>
              <w:szCs w:val="28"/>
            </w:rPr>
            <w:t>17</w:t>
          </w:r>
          <w:r>
            <w:rPr>
              <w:b/>
              <w:sz w:val="28"/>
              <w:szCs w:val="28"/>
            </w:rPr>
            <w:fldChar w:fldCharType="end"/>
          </w:r>
          <w:r>
            <w:rPr>
              <w:b/>
              <w:sz w:val="28"/>
              <w:szCs w:val="28"/>
            </w:rPr>
            <w:fldChar w:fldCharType="end"/>
          </w:r>
        </w:p>
        <w:p>
          <w:pPr>
            <w:keepNext w:val="0"/>
            <w:keepLines w:val="0"/>
            <w:pageBreakBefore w:val="0"/>
            <w:widowControl/>
            <w:kinsoku/>
            <w:wordWrap/>
            <w:overflowPunct/>
            <w:topLinePunct w:val="0"/>
            <w:autoSpaceDE/>
            <w:autoSpaceDN/>
            <w:bidi w:val="0"/>
            <w:adjustRightInd/>
            <w:snapToGrid/>
            <w:spacing w:line="500" w:lineRule="exact"/>
            <w:textAlignment w:val="auto"/>
          </w:pPr>
          <w:r>
            <w:rPr>
              <w:b/>
              <w:sz w:val="28"/>
              <w:szCs w:val="28"/>
            </w:rPr>
            <w:fldChar w:fldCharType="end"/>
          </w:r>
        </w:p>
      </w:sdtContent>
    </w:sdt>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宋体"/>
          <w:lang w:eastAsia="zh-CN"/>
        </w:rPr>
        <w:sectPr>
          <w:pgSz w:w="11915" w:h="16840"/>
          <w:pgMar w:top="1440" w:right="1800" w:bottom="1440" w:left="1800" w:header="851" w:footer="992" w:gutter="0"/>
          <w:pgBorders>
            <w:top w:val="none" w:sz="0" w:space="0"/>
            <w:left w:val="none" w:sz="0" w:space="0"/>
            <w:bottom w:val="none" w:sz="0" w:space="0"/>
            <w:right w:val="none" w:sz="0" w:space="0"/>
          </w:pgBorders>
          <w:pgNumType w:fmt="decimal" w:start="1"/>
          <w:cols w:space="0" w:num="1"/>
          <w:docGrid w:type="lines" w:linePitch="312" w:charSpace="0"/>
        </w:sectPr>
      </w:pPr>
      <w:bookmarkStart w:id="0" w:name="_Toc31703"/>
      <w:bookmarkEnd w:id="0"/>
      <w:bookmarkStart w:id="1" w:name="_Toc3369"/>
      <w:bookmarkStart w:id="2" w:name="_Toc26743"/>
      <w:bookmarkStart w:id="3" w:name="_Toc26252"/>
      <w:bookmarkStart w:id="4" w:name="_Toc1553"/>
      <w:bookmarkStart w:id="5" w:name="_Toc2801"/>
      <w:bookmarkStart w:id="6" w:name="_Toc16585"/>
    </w:p>
    <w:p>
      <w:pPr>
        <w:pStyle w:val="3"/>
        <w:jc w:val="center"/>
        <w:rPr>
          <w:rFonts w:hint="default" w:cs="宋体"/>
          <w:sz w:val="36"/>
          <w:szCs w:val="36"/>
        </w:rPr>
      </w:pPr>
      <w:r>
        <w:rPr>
          <w:rFonts w:cs="宋体"/>
        </w:rPr>
        <w:t>第一部分 部门概况</w:t>
      </w:r>
      <w:bookmarkEnd w:id="1"/>
      <w:bookmarkEnd w:id="2"/>
      <w:bookmarkEnd w:id="3"/>
      <w:bookmarkEnd w:id="4"/>
      <w:bookmarkEnd w:id="5"/>
      <w:bookmarkEnd w:id="6"/>
      <w:r>
        <w:rPr>
          <w:rFonts w:cs="宋体"/>
          <w:sz w:val="36"/>
          <w:szCs w:val="36"/>
        </w:rPr>
        <w:t xml:space="preserve"> </w:t>
      </w:r>
    </w:p>
    <w:p>
      <w:pPr>
        <w:pStyle w:val="4"/>
        <w:rPr>
          <w:rFonts w:hint="default" w:cs="宋体"/>
        </w:rPr>
      </w:pPr>
      <w:bookmarkStart w:id="7" w:name="_Toc3942"/>
      <w:bookmarkEnd w:id="7"/>
      <w:bookmarkStart w:id="8" w:name="_Toc16222"/>
      <w:bookmarkStart w:id="9" w:name="_Toc10588"/>
      <w:bookmarkStart w:id="10" w:name="_Toc25453"/>
      <w:bookmarkStart w:id="11" w:name="_Toc25843"/>
      <w:bookmarkStart w:id="12" w:name="_Toc19992"/>
      <w:bookmarkStart w:id="13" w:name="_Toc4503"/>
      <w:r>
        <w:rPr>
          <w:rFonts w:cs="宋体"/>
        </w:rPr>
        <w:t>一、部门主要职责</w:t>
      </w:r>
      <w:bookmarkEnd w:id="8"/>
      <w:bookmarkEnd w:id="9"/>
      <w:bookmarkEnd w:id="10"/>
      <w:bookmarkEnd w:id="11"/>
      <w:bookmarkEnd w:id="12"/>
      <w:bookmarkEnd w:id="13"/>
    </w:p>
    <w:p>
      <w:pPr>
        <w:adjustRightInd w:val="0"/>
        <w:snapToGrid w:val="0"/>
        <w:spacing w:line="600" w:lineRule="exact"/>
        <w:ind w:firstLine="560" w:firstLineChars="200"/>
        <w:rPr>
          <w:rFonts w:hint="default" w:cs="宋体"/>
          <w:sz w:val="32"/>
          <w:szCs w:val="32"/>
        </w:rPr>
      </w:pPr>
      <w:r>
        <w:rPr>
          <w:rFonts w:cs="宋体"/>
          <w:sz w:val="28"/>
          <w:szCs w:val="28"/>
        </w:rPr>
        <w:t>渣土处置中心的主要职责是：</w:t>
      </w:r>
      <w:r>
        <w:rPr>
          <w:rFonts w:cs="宋体"/>
          <w:color w:val="000000"/>
          <w:sz w:val="28"/>
          <w:szCs w:val="28"/>
          <w:shd w:val="clear" w:color="auto" w:fill="FFFFFF"/>
        </w:rPr>
        <w:t>对全市建筑垃圾工程渣土制订统一处置计划,并具体负责安排对建筑垃圾、工程渣土的处置统筹;对各区建筑垃圾工程渣土管理工作进行监督、指导、协调、仲裁</w:t>
      </w:r>
      <w:r>
        <w:rPr>
          <w:rFonts w:cs="宋体"/>
          <w:sz w:val="28"/>
          <w:szCs w:val="28"/>
        </w:rPr>
        <w:t>。</w:t>
      </w:r>
    </w:p>
    <w:p>
      <w:pPr>
        <w:pStyle w:val="4"/>
        <w:rPr>
          <w:rFonts w:hint="default" w:cs="宋体"/>
        </w:rPr>
      </w:pPr>
      <w:bookmarkStart w:id="14" w:name="_Toc2024"/>
      <w:bookmarkEnd w:id="14"/>
      <w:bookmarkStart w:id="15" w:name="_Toc18481"/>
      <w:bookmarkStart w:id="16" w:name="_Toc26373"/>
      <w:bookmarkStart w:id="17" w:name="_Toc2249"/>
      <w:bookmarkStart w:id="18" w:name="_Toc17590"/>
      <w:bookmarkStart w:id="19" w:name="_Toc657"/>
      <w:bookmarkStart w:id="20" w:name="_Toc26266"/>
      <w:r>
        <w:rPr>
          <w:rFonts w:cs="宋体"/>
        </w:rPr>
        <w:t>二、部门决算单位基本情况</w:t>
      </w:r>
      <w:bookmarkEnd w:id="15"/>
      <w:bookmarkEnd w:id="16"/>
      <w:bookmarkEnd w:id="17"/>
      <w:bookmarkEnd w:id="18"/>
      <w:bookmarkEnd w:id="19"/>
      <w:bookmarkEnd w:id="20"/>
    </w:p>
    <w:p>
      <w:pPr>
        <w:adjustRightInd w:val="0"/>
        <w:snapToGrid w:val="0"/>
        <w:spacing w:line="360" w:lineRule="auto"/>
        <w:ind w:firstLine="560" w:firstLineChars="200"/>
        <w:rPr>
          <w:rFonts w:hint="default" w:cs="宋体"/>
          <w:sz w:val="28"/>
          <w:szCs w:val="28"/>
        </w:rPr>
      </w:pPr>
      <w:r>
        <w:rPr>
          <w:rFonts w:cs="宋体"/>
          <w:sz w:val="28"/>
          <w:szCs w:val="28"/>
        </w:rPr>
        <w:t>渣土处置中心机构编制18名，2020年决算实际在编人数13名，市城管委定编集体人员24名。在职人数共计37人。下设办公室、业务科、督察保洁科、企业管理科四个科室。</w:t>
      </w:r>
    </w:p>
    <w:p>
      <w:pPr>
        <w:pStyle w:val="4"/>
        <w:rPr>
          <w:rFonts w:hint="default" w:cs="宋体"/>
        </w:rPr>
      </w:pPr>
      <w:bookmarkStart w:id="21" w:name="_Toc12231"/>
      <w:bookmarkEnd w:id="21"/>
      <w:bookmarkStart w:id="22" w:name="_Toc22763"/>
      <w:bookmarkStart w:id="23" w:name="_Toc3284"/>
      <w:bookmarkStart w:id="24" w:name="_Toc22062"/>
      <w:bookmarkStart w:id="25" w:name="_Toc9961"/>
      <w:bookmarkStart w:id="26" w:name="_Toc2641"/>
      <w:bookmarkStart w:id="27" w:name="_Toc17784"/>
      <w:r>
        <w:rPr>
          <w:rFonts w:cs="宋体"/>
        </w:rPr>
        <w:t>三、部门主要工作总结</w:t>
      </w:r>
      <w:bookmarkEnd w:id="22"/>
      <w:bookmarkEnd w:id="23"/>
      <w:bookmarkEnd w:id="24"/>
      <w:bookmarkEnd w:id="25"/>
      <w:bookmarkEnd w:id="26"/>
      <w:bookmarkEnd w:id="27"/>
    </w:p>
    <w:p>
      <w:pPr>
        <w:bidi w:val="0"/>
        <w:ind w:firstLine="560" w:firstLineChars="200"/>
        <w:rPr>
          <w:rFonts w:hint="default"/>
          <w:sz w:val="28"/>
          <w:szCs w:val="28"/>
        </w:rPr>
      </w:pPr>
      <w:r>
        <w:rPr>
          <w:sz w:val="28"/>
          <w:szCs w:val="28"/>
        </w:rPr>
        <w:t>2020年，渣土处置</w:t>
      </w:r>
      <w:r>
        <w:rPr>
          <w:rFonts w:hint="default"/>
          <w:sz w:val="28"/>
          <w:szCs w:val="28"/>
        </w:rPr>
        <w:t>中心的</w:t>
      </w:r>
      <w:r>
        <w:rPr>
          <w:sz w:val="28"/>
          <w:szCs w:val="28"/>
        </w:rPr>
        <w:t>主要任务是：核准和规范化监管建筑垃圾运输企业及所属运输车辆；对建筑垃圾出土工地和消纳场（回填点）统一监管、调剂使用；市渣土监控平台的运行、监管工作；安全生产、信访维稳。围绕上述任务，重点完成了以下工作：</w:t>
      </w:r>
    </w:p>
    <w:p>
      <w:pPr>
        <w:bidi w:val="0"/>
        <w:ind w:firstLine="560" w:firstLineChars="200"/>
        <w:rPr>
          <w:rFonts w:hint="default"/>
          <w:sz w:val="28"/>
          <w:szCs w:val="28"/>
        </w:rPr>
      </w:pPr>
      <w:r>
        <w:rPr>
          <w:sz w:val="28"/>
          <w:szCs w:val="28"/>
        </w:rPr>
        <w:t>（一）2020年我市共有150家企业，其中渣土运输企业85家，轻型自卸货车企业65家，共有车辆3376部，其中渣土车辆2371部，轻型自卸货车1005部。</w:t>
      </w:r>
    </w:p>
    <w:p>
      <w:pPr>
        <w:bidi w:val="0"/>
        <w:ind w:firstLine="560" w:firstLineChars="200"/>
        <w:rPr>
          <w:rFonts w:hint="default"/>
          <w:sz w:val="28"/>
          <w:szCs w:val="28"/>
        </w:rPr>
      </w:pPr>
      <w:r>
        <w:rPr>
          <w:sz w:val="28"/>
          <w:szCs w:val="28"/>
        </w:rPr>
        <w:t>（二）申报出土工地共1490个，二次装修垃圾项目2122个，渣土处置中心业务窗口共计发出运输单25750张。</w:t>
      </w:r>
    </w:p>
    <w:p>
      <w:pPr>
        <w:bidi w:val="0"/>
        <w:ind w:firstLine="560" w:firstLineChars="200"/>
        <w:rPr>
          <w:rFonts w:hint="default"/>
          <w:sz w:val="28"/>
          <w:szCs w:val="28"/>
        </w:rPr>
      </w:pPr>
      <w:r>
        <w:rPr>
          <w:sz w:val="28"/>
          <w:szCs w:val="28"/>
        </w:rPr>
        <w:t>（三）累计组织督查科人员676人次开展路面督查巡查，共发现违章431起，均已在第一时间移送辖区城管局查处。</w:t>
      </w:r>
    </w:p>
    <w:p>
      <w:pPr>
        <w:bidi w:val="0"/>
        <w:ind w:firstLine="560" w:firstLineChars="200"/>
        <w:rPr>
          <w:rFonts w:hint="default"/>
          <w:sz w:val="28"/>
          <w:szCs w:val="28"/>
        </w:rPr>
      </w:pPr>
      <w:r>
        <w:rPr>
          <w:sz w:val="28"/>
          <w:szCs w:val="28"/>
        </w:rPr>
        <w:t>（四）共实地监管消纳场321个，发出书面整改通知52张。</w:t>
      </w:r>
    </w:p>
    <w:p>
      <w:pPr>
        <w:bidi w:val="0"/>
        <w:ind w:firstLine="560" w:firstLineChars="200"/>
        <w:rPr>
          <w:rFonts w:hint="default"/>
          <w:sz w:val="28"/>
          <w:szCs w:val="28"/>
        </w:rPr>
      </w:pPr>
      <w:r>
        <w:rPr>
          <w:sz w:val="28"/>
          <w:szCs w:val="28"/>
        </w:rPr>
        <w:t>（五）2020年组织建筑垃圾运输企业共14期1073人参加安全学习培训。</w:t>
      </w:r>
    </w:p>
    <w:p>
      <w:pPr>
        <w:bidi w:val="0"/>
        <w:ind w:firstLine="560" w:firstLineChars="200"/>
        <w:rPr>
          <w:rFonts w:hint="default"/>
          <w:sz w:val="28"/>
          <w:szCs w:val="28"/>
        </w:rPr>
      </w:pPr>
      <w:r>
        <w:rPr>
          <w:sz w:val="28"/>
          <w:szCs w:val="28"/>
        </w:rPr>
        <w:t>（六）渣土运输车辆已基本安装右转盲区监控和防疲劳视频系统并培训完毕。</w:t>
      </w:r>
    </w:p>
    <w:p>
      <w:pPr>
        <w:bidi w:val="0"/>
        <w:ind w:firstLine="560" w:firstLineChars="200"/>
        <w:rPr>
          <w:rFonts w:hint="default"/>
          <w:sz w:val="28"/>
          <w:szCs w:val="28"/>
        </w:rPr>
      </w:pPr>
      <w:r>
        <w:rPr>
          <w:sz w:val="28"/>
          <w:szCs w:val="28"/>
        </w:rPr>
        <w:t>（七）与交警部门配合，将市交警部门通报的被纳入失信惩戒的59部运输车辆，永久不予办理运输单；将市交警部门通报的被纳入失信惩戒的16名驾驶员，通报各建筑垃圾运输企业，要求各企业永久不得聘请。</w:t>
      </w:r>
    </w:p>
    <w:p>
      <w:pPr>
        <w:bidi w:val="0"/>
        <w:ind w:firstLine="560" w:firstLineChars="200"/>
        <w:rPr>
          <w:rFonts w:hint="default"/>
          <w:sz w:val="28"/>
          <w:szCs w:val="28"/>
        </w:rPr>
      </w:pPr>
      <w:r>
        <w:rPr>
          <w:sz w:val="28"/>
          <w:szCs w:val="28"/>
        </w:rPr>
        <w:t>（八）累计统筹项目回填消纳场157个，已消纳约1170万方，主要消纳区域为仓山区、晋安区、长乐区、福清市、连江县及闽侯县等。</w:t>
      </w:r>
    </w:p>
    <w:p>
      <w:pPr>
        <w:spacing w:beforeAutospacing="1" w:afterAutospacing="1" w:line="600" w:lineRule="exact"/>
        <w:rPr>
          <w:rFonts w:cs="宋体"/>
          <w:sz w:val="32"/>
          <w:szCs w:val="32"/>
        </w:rPr>
      </w:pPr>
      <w:r>
        <w:rPr>
          <w:rFonts w:cs="宋体"/>
          <w:sz w:val="32"/>
          <w:szCs w:val="32"/>
        </w:rPr>
        <w:t xml:space="preserve"> </w:t>
      </w:r>
    </w:p>
    <w:p>
      <w:pPr>
        <w:spacing w:beforeAutospacing="1" w:afterAutospacing="1" w:line="600" w:lineRule="exact"/>
        <w:rPr>
          <w:rFonts w:cs="宋体"/>
          <w:sz w:val="32"/>
          <w:szCs w:val="32"/>
        </w:rPr>
      </w:pPr>
    </w:p>
    <w:p>
      <w:pPr>
        <w:spacing w:beforeAutospacing="1" w:afterAutospacing="1" w:line="600" w:lineRule="exact"/>
        <w:rPr>
          <w:rFonts w:cs="宋体"/>
          <w:sz w:val="32"/>
          <w:szCs w:val="32"/>
        </w:rPr>
      </w:pPr>
    </w:p>
    <w:p>
      <w:pPr>
        <w:spacing w:beforeAutospacing="1" w:afterAutospacing="1" w:line="600" w:lineRule="exact"/>
        <w:rPr>
          <w:rFonts w:hint="default" w:cs="宋体"/>
          <w:sz w:val="32"/>
          <w:szCs w:val="32"/>
        </w:rPr>
      </w:pPr>
    </w:p>
    <w:p>
      <w:pPr>
        <w:pStyle w:val="3"/>
        <w:jc w:val="center"/>
        <w:outlineLvl w:val="9"/>
        <w:rPr>
          <w:rFonts w:cs="宋体"/>
        </w:rPr>
      </w:pPr>
      <w:bookmarkStart w:id="28" w:name="_Toc17190"/>
      <w:bookmarkEnd w:id="28"/>
    </w:p>
    <w:p>
      <w:pPr>
        <w:pStyle w:val="3"/>
        <w:numPr>
          <w:ilvl w:val="0"/>
          <w:numId w:val="1"/>
        </w:numPr>
        <w:jc w:val="center"/>
        <w:rPr>
          <w:rFonts w:cs="宋体"/>
        </w:rPr>
      </w:pPr>
      <w:bookmarkStart w:id="29" w:name="_Toc4165"/>
      <w:bookmarkStart w:id="30" w:name="_Toc28199"/>
      <w:bookmarkStart w:id="31" w:name="_Toc21159"/>
      <w:bookmarkStart w:id="32" w:name="_Toc29956"/>
      <w:bookmarkStart w:id="33" w:name="_Toc15700"/>
      <w:bookmarkStart w:id="34" w:name="_Toc5895"/>
      <w:r>
        <w:rPr>
          <w:rFonts w:cs="宋体"/>
        </w:rPr>
        <w:t>2020年度部门决算表</w:t>
      </w:r>
      <w:bookmarkEnd w:id="29"/>
      <w:bookmarkEnd w:id="30"/>
      <w:bookmarkEnd w:id="31"/>
      <w:bookmarkEnd w:id="32"/>
      <w:bookmarkEnd w:id="33"/>
      <w:bookmarkEnd w:id="34"/>
      <w:bookmarkStart w:id="35" w:name="_Toc276"/>
    </w:p>
    <w:p>
      <w:pPr>
        <w:bidi w:val="0"/>
        <w:jc w:val="center"/>
        <w:rPr>
          <w:rFonts w:hint="default"/>
        </w:rPr>
      </w:pPr>
      <w:r>
        <w:rPr>
          <w:rFonts w:hint="eastAsia"/>
          <w:lang w:eastAsia="zh-CN"/>
        </w:rPr>
        <w:t>（</w:t>
      </w:r>
      <w:r>
        <w:t>部门决算公开表由部门决算网络版公开任务系统导出</w:t>
      </w:r>
      <w:r>
        <w:rPr>
          <w:rFonts w:hint="eastAsia"/>
          <w:lang w:eastAsia="zh-CN"/>
        </w:rPr>
        <w:t>）</w:t>
      </w:r>
      <w:bookmarkEnd w:id="35"/>
    </w:p>
    <w:p>
      <w:pPr>
        <w:pStyle w:val="4"/>
        <w:rPr>
          <w:rFonts w:hint="default" w:cs="宋体"/>
        </w:rPr>
      </w:pPr>
      <w:bookmarkStart w:id="36" w:name="_Toc27263"/>
      <w:bookmarkEnd w:id="36"/>
      <w:bookmarkStart w:id="37" w:name="_Toc20918"/>
      <w:bookmarkStart w:id="38" w:name="_Toc26562"/>
      <w:bookmarkStart w:id="39" w:name="_Toc21520"/>
      <w:bookmarkStart w:id="40" w:name="_Toc18897"/>
      <w:bookmarkStart w:id="41" w:name="_Toc14494"/>
      <w:bookmarkStart w:id="42" w:name="_Toc7881"/>
      <w:r>
        <w:rPr>
          <w:rFonts w:cs="宋体"/>
        </w:rPr>
        <w:t>一、收入支出决算总表</w:t>
      </w:r>
      <w:bookmarkEnd w:id="37"/>
      <w:bookmarkEnd w:id="38"/>
      <w:bookmarkEnd w:id="39"/>
      <w:bookmarkEnd w:id="40"/>
      <w:bookmarkEnd w:id="41"/>
      <w:bookmarkEnd w:id="42"/>
      <w:r>
        <w:rPr>
          <w:rFonts w:cs="宋体"/>
        </w:rPr>
        <w:t xml:space="preserve"> </w:t>
      </w:r>
    </w:p>
    <w:tbl>
      <w:tblPr>
        <w:tblStyle w:val="15"/>
        <w:tblW w:w="9039" w:type="dxa"/>
        <w:tblInd w:w="-107" w:type="dxa"/>
        <w:tblLayout w:type="fixed"/>
        <w:tblCellMar>
          <w:top w:w="0" w:type="dxa"/>
          <w:left w:w="108" w:type="dxa"/>
          <w:bottom w:w="0" w:type="dxa"/>
          <w:right w:w="108" w:type="dxa"/>
        </w:tblCellMar>
      </w:tblPr>
      <w:tblGrid>
        <w:gridCol w:w="3525"/>
        <w:gridCol w:w="1035"/>
        <w:gridCol w:w="3344"/>
        <w:gridCol w:w="1135"/>
      </w:tblGrid>
      <w:tr>
        <w:tblPrEx>
          <w:tblCellMar>
            <w:top w:w="0" w:type="dxa"/>
            <w:left w:w="108" w:type="dxa"/>
            <w:bottom w:w="0" w:type="dxa"/>
            <w:right w:w="108" w:type="dxa"/>
          </w:tblCellMar>
        </w:tblPrEx>
        <w:trPr>
          <w:trHeight w:val="361" w:hRule="atLeast"/>
        </w:trPr>
        <w:tc>
          <w:tcPr>
            <w:tcW w:w="9039" w:type="dxa"/>
            <w:gridSpan w:val="4"/>
            <w:tcBorders>
              <w:top w:val="nil"/>
              <w:left w:val="nil"/>
              <w:bottom w:val="nil"/>
              <w:right w:val="nil"/>
            </w:tcBorders>
            <w:shd w:val="clear" w:color="auto" w:fill="auto"/>
            <w:noWrap/>
            <w:vAlign w:val="bottom"/>
          </w:tcPr>
          <w:p>
            <w:pPr>
              <w:spacing w:beforeAutospacing="1" w:afterAutospacing="1"/>
              <w:jc w:val="center"/>
              <w:rPr>
                <w:rFonts w:hint="default"/>
                <w:sz w:val="44"/>
                <w:szCs w:val="44"/>
              </w:rPr>
            </w:pPr>
            <w:r>
              <w:rPr>
                <w:rFonts w:cs="宋体"/>
                <w:color w:val="000000"/>
                <w:sz w:val="32"/>
                <w:szCs w:val="32"/>
              </w:rPr>
              <w:t>收支决算总表</w:t>
            </w:r>
          </w:p>
        </w:tc>
      </w:tr>
      <w:tr>
        <w:tblPrEx>
          <w:tblCellMar>
            <w:top w:w="0" w:type="dxa"/>
            <w:left w:w="108" w:type="dxa"/>
            <w:bottom w:w="0" w:type="dxa"/>
            <w:right w:w="108" w:type="dxa"/>
          </w:tblCellMar>
        </w:tblPrEx>
        <w:trPr>
          <w:trHeight w:val="90" w:hRule="atLeast"/>
        </w:trPr>
        <w:tc>
          <w:tcPr>
            <w:tcW w:w="3525" w:type="dxa"/>
            <w:tcBorders>
              <w:top w:val="nil"/>
              <w:left w:val="nil"/>
              <w:bottom w:val="nil"/>
              <w:right w:val="nil"/>
            </w:tcBorders>
            <w:shd w:val="clear" w:color="auto" w:fill="auto"/>
            <w:noWrap/>
            <w:vAlign w:val="bottom"/>
          </w:tcPr>
          <w:p>
            <w:pPr>
              <w:spacing w:beforeAutospacing="1" w:afterAutospacing="1"/>
              <w:rPr>
                <w:rFonts w:hint="default"/>
                <w:color w:val="000000"/>
                <w:sz w:val="22"/>
                <w:szCs w:val="22"/>
              </w:rPr>
            </w:pPr>
          </w:p>
        </w:tc>
        <w:tc>
          <w:tcPr>
            <w:tcW w:w="1035" w:type="dxa"/>
            <w:tcBorders>
              <w:top w:val="nil"/>
              <w:left w:val="nil"/>
              <w:bottom w:val="nil"/>
              <w:right w:val="nil"/>
            </w:tcBorders>
            <w:shd w:val="clear" w:color="auto" w:fill="auto"/>
            <w:noWrap/>
            <w:vAlign w:val="bottom"/>
          </w:tcPr>
          <w:p>
            <w:pPr>
              <w:spacing w:beforeAutospacing="1" w:afterAutospacing="1"/>
              <w:jc w:val="right"/>
              <w:rPr>
                <w:rFonts w:hint="default"/>
                <w:color w:val="000000"/>
                <w:sz w:val="20"/>
                <w:szCs w:val="20"/>
              </w:rPr>
            </w:pPr>
          </w:p>
        </w:tc>
        <w:tc>
          <w:tcPr>
            <w:tcW w:w="4479" w:type="dxa"/>
            <w:gridSpan w:val="2"/>
            <w:tcBorders>
              <w:top w:val="nil"/>
              <w:left w:val="nil"/>
              <w:bottom w:val="nil"/>
              <w:right w:val="nil"/>
            </w:tcBorders>
            <w:shd w:val="clear" w:color="auto" w:fill="auto"/>
            <w:noWrap/>
            <w:vAlign w:val="bottom"/>
          </w:tcPr>
          <w:p>
            <w:pPr>
              <w:spacing w:beforeAutospacing="1" w:afterAutospacing="1"/>
              <w:jc w:val="right"/>
              <w:rPr>
                <w:rFonts w:hint="default"/>
                <w:sz w:val="20"/>
                <w:szCs w:val="20"/>
              </w:rPr>
            </w:pPr>
            <w:r>
              <w:rPr>
                <w:rFonts w:cs="宋体"/>
                <w:sz w:val="20"/>
                <w:szCs w:val="20"/>
              </w:rPr>
              <w:t>公开01表</w:t>
            </w:r>
          </w:p>
        </w:tc>
      </w:tr>
      <w:tr>
        <w:tblPrEx>
          <w:tblCellMar>
            <w:top w:w="0" w:type="dxa"/>
            <w:left w:w="108" w:type="dxa"/>
            <w:bottom w:w="0" w:type="dxa"/>
            <w:right w:w="108" w:type="dxa"/>
          </w:tblCellMar>
        </w:tblPrEx>
        <w:trPr>
          <w:trHeight w:val="300" w:hRule="atLeast"/>
        </w:trPr>
        <w:tc>
          <w:tcPr>
            <w:tcW w:w="4560" w:type="dxa"/>
            <w:gridSpan w:val="2"/>
            <w:tcBorders>
              <w:top w:val="nil"/>
              <w:left w:val="nil"/>
              <w:bottom w:val="nil"/>
              <w:right w:val="nil"/>
            </w:tcBorders>
            <w:shd w:val="clear" w:color="auto" w:fill="auto"/>
            <w:noWrap/>
            <w:vAlign w:val="center"/>
          </w:tcPr>
          <w:p>
            <w:pPr>
              <w:rPr>
                <w:rFonts w:hint="default"/>
              </w:rPr>
            </w:pPr>
            <w:r>
              <w:rPr>
                <w:rFonts w:cs="宋体"/>
                <w:color w:val="000000"/>
                <w:sz w:val="20"/>
                <w:szCs w:val="20"/>
              </w:rPr>
              <w:t>部门：福州市建筑垃圾工程渣土处置中心</w:t>
            </w:r>
          </w:p>
        </w:tc>
        <w:tc>
          <w:tcPr>
            <w:tcW w:w="4479" w:type="dxa"/>
            <w:gridSpan w:val="2"/>
            <w:tcBorders>
              <w:top w:val="nil"/>
              <w:left w:val="nil"/>
              <w:bottom w:val="nil"/>
              <w:right w:val="nil"/>
            </w:tcBorders>
            <w:shd w:val="clear" w:color="auto" w:fill="auto"/>
            <w:noWrap/>
            <w:vAlign w:val="center"/>
          </w:tcPr>
          <w:p>
            <w:pPr>
              <w:spacing w:beforeAutospacing="1" w:afterAutospacing="1"/>
              <w:jc w:val="right"/>
              <w:rPr>
                <w:rFonts w:hint="default"/>
                <w:sz w:val="20"/>
                <w:szCs w:val="20"/>
              </w:rPr>
            </w:pPr>
            <w:r>
              <w:rPr>
                <w:rFonts w:cs="宋体"/>
                <w:color w:val="000000"/>
                <w:sz w:val="20"/>
                <w:szCs w:val="20"/>
              </w:rPr>
              <w:t>金额单位：万元</w:t>
            </w:r>
          </w:p>
        </w:tc>
      </w:tr>
      <w:tr>
        <w:tblPrEx>
          <w:tblCellMar>
            <w:top w:w="0" w:type="dxa"/>
            <w:left w:w="108" w:type="dxa"/>
            <w:bottom w:w="0" w:type="dxa"/>
            <w:right w:w="108" w:type="dxa"/>
          </w:tblCellMar>
        </w:tblPrEx>
        <w:trPr>
          <w:trHeight w:val="223" w:hRule="atLeast"/>
        </w:trPr>
        <w:tc>
          <w:tcPr>
            <w:tcW w:w="4560"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收入</w:t>
            </w:r>
          </w:p>
        </w:tc>
        <w:tc>
          <w:tcPr>
            <w:tcW w:w="4479" w:type="dxa"/>
            <w:gridSpan w:val="2"/>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支出</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决算数</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项目(按支出功能分类)</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决算数</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一、一般公共预算财政拨款收入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760.94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一、一般公共服务支出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二、政府性基金预算财政拨款收入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二、外交支出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三、国有资本经营预算财政拨款收入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三、国防支出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四、上级补助收入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四、公共安全支出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五、事业收入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五、教育支出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六、经营收入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六、科学技术支出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sz w:val="20"/>
                <w:szCs w:val="20"/>
              </w:rPr>
            </w:pPr>
            <w:r>
              <w:rPr>
                <w:rFonts w:cs="宋体"/>
                <w:sz w:val="20"/>
                <w:szCs w:val="20"/>
              </w:rPr>
              <w:t>七、附属单位上缴收入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七、文化旅游体育与传媒支出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八</w:t>
            </w:r>
            <w:r>
              <w:rPr>
                <w:rFonts w:cs="宋体"/>
                <w:sz w:val="20"/>
                <w:szCs w:val="20"/>
              </w:rPr>
              <w:t>、其他收入</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八、社会保障和就业支出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28.42　</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九、卫生健康支出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十、节能环保支出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十一、城乡社区支出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701.97　</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十二、农林水支出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十三、交通运输支出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十四、资源勘探信息等支出</w:t>
            </w:r>
          </w:p>
        </w:tc>
        <w:tc>
          <w:tcPr>
            <w:tcW w:w="1135" w:type="dxa"/>
            <w:tcBorders>
              <w:top w:val="nil"/>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十五、商业服务业等支出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十六、金融支出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十七、援助其他地区支出</w:t>
            </w:r>
          </w:p>
        </w:tc>
        <w:tc>
          <w:tcPr>
            <w:tcW w:w="11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十八、自然资源海洋气象等支出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十九、住房保障支出</w:t>
            </w:r>
          </w:p>
        </w:tc>
        <w:tc>
          <w:tcPr>
            <w:tcW w:w="1135" w:type="dxa"/>
            <w:tcBorders>
              <w:top w:val="single" w:color="auto" w:sz="4" w:space="0"/>
              <w:left w:val="nil"/>
              <w:bottom w:val="single" w:color="auto"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19.76　</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二十、粮油物资储备支出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二十一、国有资本经营预算支出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二十二、灾害防治及应急管理支出</w:t>
            </w:r>
          </w:p>
        </w:tc>
        <w:tc>
          <w:tcPr>
            <w:tcW w:w="113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single" w:color="auto" w:sz="4" w:space="0"/>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single" w:color="auto" w:sz="4" w:space="0"/>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二十三、其他支出</w:t>
            </w:r>
          </w:p>
        </w:tc>
        <w:tc>
          <w:tcPr>
            <w:tcW w:w="1135" w:type="dxa"/>
            <w:tcBorders>
              <w:top w:val="single" w:color="auto" w:sz="4" w:space="0"/>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二十四、债务还本支出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二十五、债务付息支出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b/>
                <w:bCs/>
                <w:color w:val="000000"/>
                <w:sz w:val="20"/>
                <w:szCs w:val="20"/>
              </w:rPr>
            </w:pPr>
            <w:r>
              <w:rPr>
                <w:rFonts w:cs="宋体"/>
                <w:color w:val="000000"/>
                <w:sz w:val="20"/>
                <w:szCs w:val="20"/>
              </w:rPr>
              <w:t>二十六、抗疫特别国债安排的支出</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本年收入合计</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760.94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本年支出合计</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750.15　</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使用非财政拨款结余</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结余分配</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年初结转和结余</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87.13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年末结转和结余</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97.92　</w:t>
            </w:r>
          </w:p>
        </w:tc>
      </w:tr>
      <w:tr>
        <w:tblPrEx>
          <w:tblCellMar>
            <w:top w:w="0" w:type="dxa"/>
            <w:left w:w="108" w:type="dxa"/>
            <w:bottom w:w="0" w:type="dxa"/>
            <w:right w:w="108" w:type="dxa"/>
          </w:tblCellMar>
        </w:tblPrEx>
        <w:trPr>
          <w:trHeight w:val="308" w:hRule="atLeast"/>
        </w:trPr>
        <w:tc>
          <w:tcPr>
            <w:tcW w:w="3525"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10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848.07　</w:t>
            </w:r>
          </w:p>
        </w:tc>
        <w:tc>
          <w:tcPr>
            <w:tcW w:w="3344"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113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848.07　</w:t>
            </w:r>
          </w:p>
        </w:tc>
      </w:tr>
    </w:tbl>
    <w:p>
      <w:pPr>
        <w:pStyle w:val="21"/>
        <w:rPr>
          <w:rFonts w:hint="default" w:cs="宋体"/>
        </w:rPr>
      </w:pPr>
      <w:r>
        <w:rPr>
          <w:rFonts w:cs="宋体"/>
        </w:rPr>
        <w:t>注：1. 本表反映部门本年度的总收支和年末结转结余情况。</w:t>
      </w:r>
    </w:p>
    <w:p>
      <w:pPr>
        <w:pStyle w:val="21"/>
        <w:ind w:firstLine="480" w:firstLineChars="200"/>
        <w:rPr>
          <w:rFonts w:hint="default" w:cs="宋体"/>
        </w:rPr>
      </w:pPr>
      <w:r>
        <w:rPr>
          <w:rFonts w:cs="宋体"/>
        </w:rPr>
        <w:t>2. 本套报表金额单位转换时可能存在尾数误差。</w:t>
      </w:r>
    </w:p>
    <w:p>
      <w:pPr>
        <w:pStyle w:val="4"/>
        <w:rPr>
          <w:rFonts w:hint="default" w:cs="宋体"/>
        </w:rPr>
      </w:pPr>
      <w:bookmarkStart w:id="43" w:name="_Toc2242"/>
      <w:bookmarkEnd w:id="43"/>
      <w:bookmarkStart w:id="44" w:name="_Toc30977"/>
      <w:bookmarkStart w:id="45" w:name="_Toc4252"/>
      <w:bookmarkStart w:id="46" w:name="_Toc21256"/>
      <w:bookmarkStart w:id="47" w:name="_Toc11225"/>
      <w:bookmarkStart w:id="48" w:name="_Toc29332"/>
      <w:bookmarkStart w:id="49" w:name="_Toc16194"/>
      <w:r>
        <w:rPr>
          <w:rFonts w:cs="宋体"/>
        </w:rPr>
        <w:t>二、收入决算表</w:t>
      </w:r>
      <w:bookmarkEnd w:id="44"/>
      <w:bookmarkEnd w:id="45"/>
      <w:bookmarkEnd w:id="46"/>
      <w:bookmarkEnd w:id="47"/>
      <w:bookmarkEnd w:id="48"/>
      <w:bookmarkEnd w:id="49"/>
      <w:r>
        <w:rPr>
          <w:rFonts w:cs="宋体"/>
        </w:rPr>
        <w:t xml:space="preserve"> </w:t>
      </w:r>
    </w:p>
    <w:tbl>
      <w:tblPr>
        <w:tblStyle w:val="15"/>
        <w:tblW w:w="10244" w:type="dxa"/>
        <w:tblInd w:w="-811" w:type="dxa"/>
        <w:tblLayout w:type="fixed"/>
        <w:tblCellMar>
          <w:top w:w="0" w:type="dxa"/>
          <w:left w:w="108" w:type="dxa"/>
          <w:bottom w:w="0" w:type="dxa"/>
          <w:right w:w="108" w:type="dxa"/>
        </w:tblCellMar>
      </w:tblPr>
      <w:tblGrid>
        <w:gridCol w:w="374"/>
        <w:gridCol w:w="405"/>
        <w:gridCol w:w="360"/>
        <w:gridCol w:w="1935"/>
        <w:gridCol w:w="901"/>
        <w:gridCol w:w="1064"/>
        <w:gridCol w:w="1095"/>
        <w:gridCol w:w="1185"/>
        <w:gridCol w:w="825"/>
        <w:gridCol w:w="690"/>
        <w:gridCol w:w="675"/>
        <w:gridCol w:w="735"/>
      </w:tblGrid>
      <w:tr>
        <w:tblPrEx>
          <w:tblCellMar>
            <w:top w:w="0" w:type="dxa"/>
            <w:left w:w="108" w:type="dxa"/>
            <w:bottom w:w="0" w:type="dxa"/>
            <w:right w:w="108" w:type="dxa"/>
          </w:tblCellMar>
        </w:tblPrEx>
        <w:trPr>
          <w:trHeight w:val="556" w:hRule="atLeast"/>
        </w:trPr>
        <w:tc>
          <w:tcPr>
            <w:tcW w:w="10244" w:type="dxa"/>
            <w:gridSpan w:val="12"/>
            <w:tcBorders>
              <w:top w:val="nil"/>
              <w:left w:val="nil"/>
              <w:bottom w:val="nil"/>
              <w:right w:val="nil"/>
            </w:tcBorders>
            <w:shd w:val="clear" w:color="auto" w:fill="FFFFFF"/>
            <w:noWrap/>
            <w:vAlign w:val="center"/>
          </w:tcPr>
          <w:p>
            <w:pPr>
              <w:jc w:val="center"/>
              <w:rPr>
                <w:rFonts w:hint="default"/>
                <w:color w:val="000000"/>
                <w:sz w:val="18"/>
                <w:szCs w:val="18"/>
              </w:rPr>
            </w:pPr>
            <w:r>
              <w:rPr>
                <w:rFonts w:cs="宋体"/>
                <w:color w:val="000000"/>
                <w:sz w:val="32"/>
                <w:szCs w:val="32"/>
              </w:rPr>
              <w:t>收入决算表</w:t>
            </w:r>
          </w:p>
        </w:tc>
      </w:tr>
      <w:tr>
        <w:tblPrEx>
          <w:tblCellMar>
            <w:top w:w="0" w:type="dxa"/>
            <w:left w:w="108" w:type="dxa"/>
            <w:bottom w:w="0" w:type="dxa"/>
            <w:right w:w="108" w:type="dxa"/>
          </w:tblCellMar>
        </w:tblPrEx>
        <w:trPr>
          <w:trHeight w:val="341" w:hRule="atLeast"/>
        </w:trPr>
        <w:tc>
          <w:tcPr>
            <w:tcW w:w="374" w:type="dxa"/>
            <w:tcBorders>
              <w:top w:val="nil"/>
              <w:left w:val="nil"/>
              <w:bottom w:val="nil"/>
              <w:right w:val="nil"/>
            </w:tcBorders>
            <w:shd w:val="clear" w:color="auto" w:fill="FFFFFF"/>
            <w:noWrap/>
            <w:vAlign w:val="center"/>
          </w:tcPr>
          <w:p>
            <w:pPr>
              <w:rPr>
                <w:rFonts w:hint="default"/>
                <w:color w:val="000000"/>
                <w:sz w:val="16"/>
                <w:szCs w:val="16"/>
              </w:rPr>
            </w:pPr>
          </w:p>
        </w:tc>
        <w:tc>
          <w:tcPr>
            <w:tcW w:w="405" w:type="dxa"/>
            <w:tcBorders>
              <w:top w:val="nil"/>
              <w:left w:val="nil"/>
              <w:bottom w:val="nil"/>
              <w:right w:val="nil"/>
            </w:tcBorders>
            <w:shd w:val="clear" w:color="auto" w:fill="FFFFFF"/>
            <w:noWrap/>
            <w:vAlign w:val="center"/>
          </w:tcPr>
          <w:p>
            <w:pPr>
              <w:rPr>
                <w:rFonts w:hint="default"/>
                <w:color w:val="000000"/>
                <w:sz w:val="18"/>
                <w:szCs w:val="18"/>
              </w:rPr>
            </w:pPr>
          </w:p>
        </w:tc>
        <w:tc>
          <w:tcPr>
            <w:tcW w:w="360" w:type="dxa"/>
            <w:tcBorders>
              <w:top w:val="nil"/>
              <w:left w:val="nil"/>
              <w:bottom w:val="nil"/>
              <w:right w:val="nil"/>
            </w:tcBorders>
            <w:shd w:val="clear" w:color="auto" w:fill="FFFFFF"/>
            <w:noWrap/>
            <w:vAlign w:val="center"/>
          </w:tcPr>
          <w:p>
            <w:pPr>
              <w:rPr>
                <w:rFonts w:hint="default"/>
                <w:color w:val="000000"/>
                <w:sz w:val="18"/>
                <w:szCs w:val="18"/>
              </w:rPr>
            </w:pPr>
          </w:p>
        </w:tc>
        <w:tc>
          <w:tcPr>
            <w:tcW w:w="1935" w:type="dxa"/>
            <w:tcBorders>
              <w:top w:val="nil"/>
              <w:left w:val="nil"/>
              <w:bottom w:val="nil"/>
              <w:right w:val="nil"/>
            </w:tcBorders>
            <w:shd w:val="clear" w:color="auto" w:fill="FFFFFF"/>
            <w:noWrap/>
            <w:vAlign w:val="center"/>
          </w:tcPr>
          <w:p>
            <w:pPr>
              <w:rPr>
                <w:rFonts w:hint="default"/>
                <w:color w:val="000000"/>
                <w:sz w:val="18"/>
                <w:szCs w:val="18"/>
              </w:rPr>
            </w:pPr>
          </w:p>
        </w:tc>
        <w:tc>
          <w:tcPr>
            <w:tcW w:w="901" w:type="dxa"/>
            <w:tcBorders>
              <w:top w:val="nil"/>
              <w:left w:val="nil"/>
              <w:bottom w:val="nil"/>
              <w:right w:val="nil"/>
            </w:tcBorders>
            <w:shd w:val="clear" w:color="auto" w:fill="FFFFFF"/>
            <w:noWrap/>
            <w:vAlign w:val="center"/>
          </w:tcPr>
          <w:p>
            <w:pPr>
              <w:rPr>
                <w:rFonts w:hint="default"/>
                <w:color w:val="000000"/>
                <w:sz w:val="18"/>
                <w:szCs w:val="18"/>
              </w:rPr>
            </w:pPr>
          </w:p>
        </w:tc>
        <w:tc>
          <w:tcPr>
            <w:tcW w:w="1064" w:type="dxa"/>
            <w:tcBorders>
              <w:top w:val="nil"/>
              <w:left w:val="nil"/>
              <w:bottom w:val="nil"/>
              <w:right w:val="nil"/>
            </w:tcBorders>
            <w:shd w:val="clear" w:color="auto" w:fill="FFFFFF"/>
            <w:noWrap/>
            <w:vAlign w:val="center"/>
          </w:tcPr>
          <w:p>
            <w:pPr>
              <w:rPr>
                <w:rFonts w:hint="default"/>
                <w:color w:val="000000"/>
                <w:sz w:val="18"/>
                <w:szCs w:val="18"/>
              </w:rPr>
            </w:pPr>
          </w:p>
        </w:tc>
        <w:tc>
          <w:tcPr>
            <w:tcW w:w="1095" w:type="dxa"/>
            <w:tcBorders>
              <w:top w:val="nil"/>
              <w:left w:val="nil"/>
              <w:bottom w:val="nil"/>
              <w:right w:val="nil"/>
            </w:tcBorders>
            <w:shd w:val="clear" w:color="auto" w:fill="FFFFFF"/>
            <w:noWrap/>
            <w:vAlign w:val="center"/>
          </w:tcPr>
          <w:p>
            <w:pPr>
              <w:rPr>
                <w:rFonts w:hint="default"/>
                <w:color w:val="000000"/>
                <w:sz w:val="18"/>
                <w:szCs w:val="18"/>
              </w:rPr>
            </w:pPr>
          </w:p>
        </w:tc>
        <w:tc>
          <w:tcPr>
            <w:tcW w:w="1185" w:type="dxa"/>
            <w:tcBorders>
              <w:top w:val="nil"/>
              <w:left w:val="nil"/>
              <w:bottom w:val="nil"/>
              <w:right w:val="nil"/>
            </w:tcBorders>
            <w:shd w:val="clear" w:color="auto" w:fill="FFFFFF"/>
            <w:noWrap/>
            <w:vAlign w:val="center"/>
          </w:tcPr>
          <w:p>
            <w:pPr>
              <w:rPr>
                <w:rFonts w:hint="default"/>
                <w:color w:val="000000"/>
                <w:sz w:val="18"/>
                <w:szCs w:val="18"/>
              </w:rPr>
            </w:pPr>
          </w:p>
        </w:tc>
        <w:tc>
          <w:tcPr>
            <w:tcW w:w="825" w:type="dxa"/>
            <w:tcBorders>
              <w:top w:val="nil"/>
              <w:left w:val="nil"/>
              <w:bottom w:val="nil"/>
              <w:right w:val="nil"/>
            </w:tcBorders>
            <w:shd w:val="clear" w:color="auto" w:fill="FFFFFF"/>
            <w:noWrap/>
            <w:vAlign w:val="center"/>
          </w:tcPr>
          <w:p>
            <w:pPr>
              <w:rPr>
                <w:rFonts w:hint="default"/>
                <w:color w:val="000000"/>
                <w:sz w:val="18"/>
                <w:szCs w:val="18"/>
              </w:rPr>
            </w:pPr>
          </w:p>
        </w:tc>
        <w:tc>
          <w:tcPr>
            <w:tcW w:w="2100" w:type="dxa"/>
            <w:gridSpan w:val="3"/>
            <w:tcBorders>
              <w:top w:val="nil"/>
              <w:left w:val="nil"/>
              <w:bottom w:val="nil"/>
              <w:right w:val="nil"/>
            </w:tcBorders>
            <w:shd w:val="clear" w:color="auto" w:fill="FFFFFF"/>
            <w:noWrap/>
            <w:vAlign w:val="center"/>
          </w:tcPr>
          <w:p>
            <w:pPr>
              <w:jc w:val="right"/>
              <w:textAlignment w:val="center"/>
              <w:rPr>
                <w:rFonts w:hint="default"/>
                <w:color w:val="000000"/>
                <w:sz w:val="20"/>
                <w:szCs w:val="20"/>
              </w:rPr>
            </w:pPr>
            <w:r>
              <w:rPr>
                <w:rFonts w:cs="宋体"/>
                <w:color w:val="000000"/>
                <w:sz w:val="20"/>
                <w:szCs w:val="20"/>
              </w:rPr>
              <w:t>财决03表</w:t>
            </w:r>
          </w:p>
        </w:tc>
      </w:tr>
      <w:tr>
        <w:tblPrEx>
          <w:tblCellMar>
            <w:top w:w="0" w:type="dxa"/>
            <w:left w:w="108" w:type="dxa"/>
            <w:bottom w:w="0" w:type="dxa"/>
            <w:right w:w="108" w:type="dxa"/>
          </w:tblCellMar>
        </w:tblPrEx>
        <w:trPr>
          <w:trHeight w:val="406" w:hRule="atLeast"/>
        </w:trPr>
        <w:tc>
          <w:tcPr>
            <w:tcW w:w="3975" w:type="dxa"/>
            <w:gridSpan w:val="5"/>
            <w:tcBorders>
              <w:top w:val="nil"/>
              <w:left w:val="nil"/>
              <w:bottom w:val="single" w:color="000000" w:sz="12" w:space="0"/>
              <w:right w:val="nil"/>
            </w:tcBorders>
            <w:shd w:val="clear" w:color="auto" w:fill="FFFFFF"/>
            <w:noWrap/>
            <w:vAlign w:val="center"/>
          </w:tcPr>
          <w:p>
            <w:pPr>
              <w:rPr>
                <w:rFonts w:hint="default"/>
                <w:color w:val="000000"/>
                <w:sz w:val="18"/>
                <w:szCs w:val="18"/>
              </w:rPr>
            </w:pPr>
            <w:r>
              <w:rPr>
                <w:rFonts w:cs="宋体"/>
                <w:color w:val="000000"/>
                <w:sz w:val="20"/>
                <w:szCs w:val="20"/>
              </w:rPr>
              <w:t>部门：福州市建筑垃圾工程渣土处置中心</w:t>
            </w:r>
          </w:p>
        </w:tc>
        <w:tc>
          <w:tcPr>
            <w:tcW w:w="2159" w:type="dxa"/>
            <w:gridSpan w:val="2"/>
            <w:tcBorders>
              <w:top w:val="nil"/>
              <w:left w:val="nil"/>
              <w:bottom w:val="single" w:color="000000" w:sz="12" w:space="0"/>
              <w:right w:val="nil"/>
            </w:tcBorders>
            <w:shd w:val="clear" w:color="auto" w:fill="FFFFFF"/>
            <w:noWrap/>
            <w:vAlign w:val="center"/>
          </w:tcPr>
          <w:p>
            <w:pPr>
              <w:jc w:val="center"/>
              <w:rPr>
                <w:rFonts w:hint="default"/>
                <w:color w:val="000000"/>
                <w:sz w:val="15"/>
                <w:szCs w:val="15"/>
              </w:rPr>
            </w:pPr>
            <w:r>
              <w:rPr>
                <w:rFonts w:cs="宋体"/>
                <w:color w:val="000000"/>
                <w:sz w:val="21"/>
                <w:szCs w:val="21"/>
              </w:rPr>
              <w:t>2020年度</w:t>
            </w:r>
          </w:p>
        </w:tc>
        <w:tc>
          <w:tcPr>
            <w:tcW w:w="1185" w:type="dxa"/>
            <w:tcBorders>
              <w:top w:val="nil"/>
              <w:left w:val="nil"/>
              <w:bottom w:val="single" w:color="000000" w:sz="12" w:space="0"/>
              <w:right w:val="nil"/>
            </w:tcBorders>
            <w:shd w:val="clear" w:color="auto" w:fill="FFFFFF"/>
            <w:noWrap/>
            <w:vAlign w:val="center"/>
          </w:tcPr>
          <w:p>
            <w:pPr>
              <w:jc w:val="center"/>
              <w:rPr>
                <w:rFonts w:hint="default"/>
                <w:color w:val="000000"/>
                <w:sz w:val="15"/>
                <w:szCs w:val="15"/>
              </w:rPr>
            </w:pPr>
          </w:p>
        </w:tc>
        <w:tc>
          <w:tcPr>
            <w:tcW w:w="825" w:type="dxa"/>
            <w:tcBorders>
              <w:top w:val="nil"/>
              <w:left w:val="nil"/>
              <w:bottom w:val="single" w:color="000000" w:sz="12" w:space="0"/>
              <w:right w:val="nil"/>
            </w:tcBorders>
            <w:shd w:val="clear" w:color="auto" w:fill="FFFFFF"/>
            <w:noWrap/>
            <w:vAlign w:val="center"/>
          </w:tcPr>
          <w:p>
            <w:pPr>
              <w:jc w:val="center"/>
              <w:rPr>
                <w:rFonts w:hint="default"/>
                <w:color w:val="000000"/>
                <w:sz w:val="15"/>
                <w:szCs w:val="15"/>
              </w:rPr>
            </w:pPr>
          </w:p>
        </w:tc>
        <w:tc>
          <w:tcPr>
            <w:tcW w:w="2100" w:type="dxa"/>
            <w:gridSpan w:val="3"/>
            <w:tcBorders>
              <w:top w:val="nil"/>
              <w:left w:val="nil"/>
              <w:bottom w:val="single" w:color="000000" w:sz="12" w:space="0"/>
              <w:right w:val="nil"/>
            </w:tcBorders>
            <w:shd w:val="clear" w:color="auto" w:fill="FFFFFF"/>
            <w:noWrap/>
            <w:vAlign w:val="center"/>
          </w:tcPr>
          <w:p>
            <w:pPr>
              <w:jc w:val="right"/>
              <w:textAlignment w:val="center"/>
              <w:rPr>
                <w:rFonts w:hint="default"/>
                <w:color w:val="000000"/>
                <w:sz w:val="21"/>
                <w:szCs w:val="21"/>
              </w:rPr>
            </w:pPr>
            <w:r>
              <w:rPr>
                <w:rFonts w:cs="宋体"/>
                <w:color w:val="000000"/>
                <w:sz w:val="20"/>
                <w:szCs w:val="20"/>
              </w:rPr>
              <w:t>金额单位：万元</w:t>
            </w:r>
          </w:p>
        </w:tc>
      </w:tr>
      <w:tr>
        <w:tblPrEx>
          <w:tblCellMar>
            <w:top w:w="0" w:type="dxa"/>
            <w:left w:w="108" w:type="dxa"/>
            <w:bottom w:w="0" w:type="dxa"/>
            <w:right w:w="108" w:type="dxa"/>
          </w:tblCellMar>
        </w:tblPrEx>
        <w:trPr>
          <w:trHeight w:val="330" w:hRule="atLeast"/>
        </w:trPr>
        <w:tc>
          <w:tcPr>
            <w:tcW w:w="3074" w:type="dxa"/>
            <w:gridSpan w:val="4"/>
            <w:tcBorders>
              <w:top w:val="nil"/>
              <w:left w:val="single" w:color="000000" w:sz="12" w:space="0"/>
              <w:bottom w:val="single" w:color="000000" w:sz="4" w:space="0"/>
              <w:right w:val="single" w:color="000000" w:sz="4" w:space="0"/>
            </w:tcBorders>
            <w:shd w:val="clear" w:color="auto" w:fill="auto"/>
            <w:noWrap/>
            <w:vAlign w:val="center"/>
          </w:tcPr>
          <w:p>
            <w:pPr>
              <w:jc w:val="both"/>
              <w:textAlignment w:val="center"/>
              <w:rPr>
                <w:rFonts w:hint="default"/>
                <w:color w:val="000000"/>
                <w:sz w:val="20"/>
                <w:szCs w:val="20"/>
              </w:rPr>
            </w:pPr>
            <w:r>
              <w:rPr>
                <w:rFonts w:cs="宋体"/>
                <w:color w:val="000000"/>
                <w:sz w:val="20"/>
                <w:szCs w:val="20"/>
              </w:rPr>
              <w:t>项目</w:t>
            </w:r>
          </w:p>
        </w:tc>
        <w:tc>
          <w:tcPr>
            <w:tcW w:w="901"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本年收入合计</w:t>
            </w:r>
          </w:p>
        </w:tc>
        <w:tc>
          <w:tcPr>
            <w:tcW w:w="1064"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财政拨款收入</w:t>
            </w:r>
          </w:p>
        </w:tc>
        <w:tc>
          <w:tcPr>
            <w:tcW w:w="109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上级补助收入</w:t>
            </w:r>
          </w:p>
        </w:tc>
        <w:tc>
          <w:tcPr>
            <w:tcW w:w="2010" w:type="dxa"/>
            <w:gridSpan w:val="2"/>
            <w:tcBorders>
              <w:top w:val="nil"/>
              <w:left w:val="nil"/>
              <w:bottom w:val="nil"/>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事业收入</w:t>
            </w:r>
          </w:p>
        </w:tc>
        <w:tc>
          <w:tcPr>
            <w:tcW w:w="690"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经营收入</w:t>
            </w:r>
          </w:p>
        </w:tc>
        <w:tc>
          <w:tcPr>
            <w:tcW w:w="67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附属单位上缴收入</w:t>
            </w:r>
          </w:p>
        </w:tc>
        <w:tc>
          <w:tcPr>
            <w:tcW w:w="735" w:type="dxa"/>
            <w:vMerge w:val="restart"/>
            <w:tcBorders>
              <w:top w:val="nil"/>
              <w:left w:val="nil"/>
              <w:bottom w:val="single" w:color="000000" w:sz="4" w:space="0"/>
              <w:right w:val="single" w:color="000000" w:sz="12"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其他收入</w:t>
            </w:r>
          </w:p>
        </w:tc>
      </w:tr>
      <w:tr>
        <w:tblPrEx>
          <w:tblCellMar>
            <w:top w:w="0" w:type="dxa"/>
            <w:left w:w="108" w:type="dxa"/>
            <w:bottom w:w="0" w:type="dxa"/>
            <w:right w:w="108" w:type="dxa"/>
          </w:tblCellMar>
        </w:tblPrEx>
        <w:trPr>
          <w:trHeight w:val="312" w:hRule="atLeast"/>
        </w:trPr>
        <w:tc>
          <w:tcPr>
            <w:tcW w:w="1139" w:type="dxa"/>
            <w:gridSpan w:val="3"/>
            <w:vMerge w:val="restart"/>
            <w:tcBorders>
              <w:top w:val="nil"/>
              <w:left w:val="single" w:color="000000" w:sz="12" w:space="0"/>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支出功能分类科目编码</w:t>
            </w:r>
          </w:p>
        </w:tc>
        <w:tc>
          <w:tcPr>
            <w:tcW w:w="1935" w:type="dxa"/>
            <w:vMerge w:val="restart"/>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科目名称</w:t>
            </w:r>
          </w:p>
        </w:tc>
        <w:tc>
          <w:tcPr>
            <w:tcW w:w="90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064"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09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18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小计</w:t>
            </w:r>
          </w:p>
        </w:tc>
        <w:tc>
          <w:tcPr>
            <w:tcW w:w="825" w:type="dxa"/>
            <w:vMerge w:val="restart"/>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其中：教育收费</w:t>
            </w:r>
          </w:p>
        </w:tc>
        <w:tc>
          <w:tcPr>
            <w:tcW w:w="6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67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735" w:type="dxa"/>
            <w:vMerge w:val="continue"/>
            <w:tcBorders>
              <w:top w:val="nil"/>
              <w:left w:val="nil"/>
              <w:bottom w:val="single" w:color="000000" w:sz="4" w:space="0"/>
              <w:right w:val="single" w:color="000000" w:sz="12"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12" w:hRule="atLeast"/>
        </w:trPr>
        <w:tc>
          <w:tcPr>
            <w:tcW w:w="1139" w:type="dxa"/>
            <w:gridSpan w:val="3"/>
            <w:vMerge w:val="continue"/>
            <w:tcBorders>
              <w:top w:val="nil"/>
              <w:left w:val="single" w:color="000000" w:sz="12" w:space="0"/>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935"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sz w:val="20"/>
                <w:szCs w:val="20"/>
              </w:rPr>
            </w:pPr>
          </w:p>
        </w:tc>
        <w:tc>
          <w:tcPr>
            <w:tcW w:w="90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064"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09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18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2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6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67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735" w:type="dxa"/>
            <w:vMerge w:val="continue"/>
            <w:tcBorders>
              <w:top w:val="nil"/>
              <w:left w:val="nil"/>
              <w:bottom w:val="single" w:color="000000" w:sz="4" w:space="0"/>
              <w:right w:val="single" w:color="000000" w:sz="12"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12" w:hRule="atLeast"/>
        </w:trPr>
        <w:tc>
          <w:tcPr>
            <w:tcW w:w="1139" w:type="dxa"/>
            <w:gridSpan w:val="3"/>
            <w:vMerge w:val="continue"/>
            <w:tcBorders>
              <w:top w:val="nil"/>
              <w:left w:val="single" w:color="000000" w:sz="12" w:space="0"/>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935"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sz w:val="20"/>
                <w:szCs w:val="20"/>
              </w:rPr>
            </w:pPr>
          </w:p>
        </w:tc>
        <w:tc>
          <w:tcPr>
            <w:tcW w:w="901"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064"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09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18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2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690"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675"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735" w:type="dxa"/>
            <w:vMerge w:val="continue"/>
            <w:tcBorders>
              <w:top w:val="nil"/>
              <w:left w:val="nil"/>
              <w:bottom w:val="single" w:color="000000" w:sz="4" w:space="0"/>
              <w:right w:val="single" w:color="000000" w:sz="12"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10" w:hRule="atLeast"/>
        </w:trPr>
        <w:tc>
          <w:tcPr>
            <w:tcW w:w="374" w:type="dxa"/>
            <w:vMerge w:val="restart"/>
            <w:tcBorders>
              <w:top w:val="nil"/>
              <w:left w:val="single" w:color="000000" w:sz="12" w:space="0"/>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类</w:t>
            </w:r>
          </w:p>
        </w:tc>
        <w:tc>
          <w:tcPr>
            <w:tcW w:w="405" w:type="dxa"/>
            <w:vMerge w:val="restart"/>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款</w:t>
            </w:r>
          </w:p>
        </w:tc>
        <w:tc>
          <w:tcPr>
            <w:tcW w:w="360" w:type="dxa"/>
            <w:vMerge w:val="restart"/>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项</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栏次</w:t>
            </w:r>
          </w:p>
        </w:tc>
        <w:tc>
          <w:tcPr>
            <w:tcW w:w="901"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1</w:t>
            </w:r>
          </w:p>
        </w:tc>
        <w:tc>
          <w:tcPr>
            <w:tcW w:w="1064"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2</w:t>
            </w:r>
          </w:p>
        </w:tc>
        <w:tc>
          <w:tcPr>
            <w:tcW w:w="1095"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3</w:t>
            </w:r>
          </w:p>
        </w:tc>
        <w:tc>
          <w:tcPr>
            <w:tcW w:w="1185"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4</w:t>
            </w:r>
          </w:p>
        </w:tc>
        <w:tc>
          <w:tcPr>
            <w:tcW w:w="825"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5</w:t>
            </w:r>
          </w:p>
        </w:tc>
        <w:tc>
          <w:tcPr>
            <w:tcW w:w="690"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6</w:t>
            </w:r>
          </w:p>
        </w:tc>
        <w:tc>
          <w:tcPr>
            <w:tcW w:w="675" w:type="dxa"/>
            <w:tcBorders>
              <w:top w:val="nil"/>
              <w:left w:val="nil"/>
              <w:bottom w:val="single" w:color="000000" w:sz="4" w:space="0"/>
              <w:right w:val="single" w:color="000000" w:sz="4"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7</w:t>
            </w:r>
          </w:p>
        </w:tc>
        <w:tc>
          <w:tcPr>
            <w:tcW w:w="735" w:type="dxa"/>
            <w:tcBorders>
              <w:top w:val="nil"/>
              <w:left w:val="nil"/>
              <w:bottom w:val="single" w:color="000000" w:sz="4" w:space="0"/>
              <w:right w:val="single" w:color="000000" w:sz="12" w:space="0"/>
            </w:tcBorders>
            <w:shd w:val="clear" w:color="auto" w:fill="auto"/>
            <w:vAlign w:val="center"/>
          </w:tcPr>
          <w:p>
            <w:pPr>
              <w:jc w:val="center"/>
              <w:textAlignment w:val="center"/>
              <w:rPr>
                <w:rFonts w:hint="default"/>
                <w:color w:val="000000"/>
                <w:sz w:val="20"/>
                <w:szCs w:val="20"/>
              </w:rPr>
            </w:pPr>
            <w:r>
              <w:rPr>
                <w:rFonts w:cs="宋体"/>
                <w:color w:val="000000"/>
                <w:sz w:val="20"/>
                <w:szCs w:val="20"/>
              </w:rPr>
              <w:t>8</w:t>
            </w:r>
          </w:p>
        </w:tc>
      </w:tr>
      <w:tr>
        <w:tblPrEx>
          <w:tblCellMar>
            <w:top w:w="0" w:type="dxa"/>
            <w:left w:w="108" w:type="dxa"/>
            <w:bottom w:w="0" w:type="dxa"/>
            <w:right w:w="108" w:type="dxa"/>
          </w:tblCellMar>
        </w:tblPrEx>
        <w:trPr>
          <w:trHeight w:val="310" w:hRule="atLeast"/>
        </w:trPr>
        <w:tc>
          <w:tcPr>
            <w:tcW w:w="374" w:type="dxa"/>
            <w:vMerge w:val="continue"/>
            <w:tcBorders>
              <w:top w:val="nil"/>
              <w:left w:val="single" w:color="000000" w:sz="12" w:space="0"/>
              <w:bottom w:val="single" w:color="000000" w:sz="4" w:space="0"/>
              <w:right w:val="single" w:color="000000" w:sz="4" w:space="0"/>
            </w:tcBorders>
            <w:shd w:val="clear" w:color="auto" w:fill="auto"/>
            <w:noWrap/>
            <w:vAlign w:val="center"/>
          </w:tcPr>
          <w:p>
            <w:pPr>
              <w:rPr>
                <w:rFonts w:hint="default" w:ascii="Times New Roman" w:hAnsi="Times New Roman"/>
                <w:sz w:val="20"/>
                <w:szCs w:val="20"/>
              </w:rPr>
            </w:pPr>
          </w:p>
        </w:tc>
        <w:tc>
          <w:tcPr>
            <w:tcW w:w="405"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sz w:val="20"/>
                <w:szCs w:val="20"/>
              </w:rPr>
            </w:pPr>
          </w:p>
        </w:tc>
        <w:tc>
          <w:tcPr>
            <w:tcW w:w="360" w:type="dxa"/>
            <w:vMerge w:val="continue"/>
            <w:tcBorders>
              <w:top w:val="nil"/>
              <w:left w:val="nil"/>
              <w:bottom w:val="single" w:color="000000" w:sz="4" w:space="0"/>
              <w:right w:val="single" w:color="000000" w:sz="4" w:space="0"/>
            </w:tcBorders>
            <w:shd w:val="clear" w:color="auto" w:fill="auto"/>
            <w:noWrap/>
            <w:vAlign w:val="center"/>
          </w:tcPr>
          <w:p>
            <w:pPr>
              <w:rPr>
                <w:rFonts w:hint="default" w:ascii="Times New Roman" w:hAnsi="Times New Roman"/>
                <w:sz w:val="20"/>
                <w:szCs w:val="20"/>
              </w:rPr>
            </w:pP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合计</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b/>
                <w:bCs/>
                <w:color w:val="000000"/>
                <w:sz w:val="20"/>
                <w:szCs w:val="20"/>
              </w:rPr>
              <w:t>760.94</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b/>
                <w:bCs/>
                <w:color w:val="000000"/>
                <w:sz w:val="20"/>
                <w:szCs w:val="20"/>
              </w:rPr>
              <w:t>760.94</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9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208</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社会保障和就业支出</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27.70</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27.70</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527"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20805</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行政事业单位养老支出</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27.70</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27.70</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color w:val="000000"/>
                <w:sz w:val="20"/>
                <w:szCs w:val="20"/>
              </w:rPr>
            </w:pPr>
            <w:r>
              <w:rPr>
                <w:rFonts w:cs="宋体"/>
                <w:color w:val="000000"/>
                <w:sz w:val="20"/>
                <w:szCs w:val="20"/>
              </w:rPr>
              <w:t>2080502</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事业单位离退休</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9.00</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9.00</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527"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color w:val="000000"/>
                <w:sz w:val="20"/>
                <w:szCs w:val="20"/>
              </w:rPr>
            </w:pPr>
            <w:r>
              <w:rPr>
                <w:rFonts w:cs="宋体"/>
                <w:color w:val="000000"/>
                <w:sz w:val="20"/>
                <w:szCs w:val="20"/>
              </w:rPr>
              <w:t>2080505</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机关事业单位基本养老保险缴费支出</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11.96</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11.96</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527"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color w:val="000000"/>
                <w:sz w:val="20"/>
                <w:szCs w:val="20"/>
              </w:rPr>
            </w:pPr>
            <w:r>
              <w:rPr>
                <w:rFonts w:cs="宋体"/>
                <w:color w:val="000000"/>
                <w:sz w:val="20"/>
                <w:szCs w:val="20"/>
              </w:rPr>
              <w:t>2080506</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机关事业单位职业年金缴费支出</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6.74</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6.74</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212</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城乡社区支出</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712.82</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712.82</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21205</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城乡社区环境卫生</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712.82</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712.82</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color w:val="000000"/>
                <w:sz w:val="20"/>
                <w:szCs w:val="20"/>
              </w:rPr>
            </w:pPr>
            <w:r>
              <w:rPr>
                <w:rFonts w:cs="宋体"/>
                <w:color w:val="000000"/>
                <w:sz w:val="20"/>
                <w:szCs w:val="20"/>
              </w:rPr>
              <w:t>2120501</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城乡社区环境卫生</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712.82</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712.82</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221</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住房保障支出</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20.42</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20.42</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b/>
                <w:bCs/>
                <w:color w:val="000000"/>
                <w:sz w:val="20"/>
                <w:szCs w:val="20"/>
              </w:rPr>
            </w:pPr>
            <w:r>
              <w:rPr>
                <w:rFonts w:cs="宋体"/>
                <w:b/>
                <w:bCs/>
                <w:color w:val="000000"/>
                <w:sz w:val="20"/>
                <w:szCs w:val="20"/>
              </w:rPr>
              <w:t>22102</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b/>
                <w:bCs/>
                <w:color w:val="000000"/>
                <w:sz w:val="20"/>
                <w:szCs w:val="20"/>
              </w:rPr>
            </w:pPr>
            <w:r>
              <w:rPr>
                <w:rFonts w:cs="宋体"/>
                <w:b/>
                <w:bCs/>
                <w:color w:val="000000"/>
                <w:sz w:val="20"/>
                <w:szCs w:val="20"/>
              </w:rPr>
              <w:t>住房改革支出</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20.42</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20.42</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b/>
                <w:bCs/>
                <w:color w:val="000000"/>
                <w:sz w:val="20"/>
                <w:szCs w:val="20"/>
              </w:rPr>
            </w:pPr>
            <w:r>
              <w:rPr>
                <w:rFonts w:cs="宋体"/>
                <w:b/>
                <w:bCs/>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color w:val="000000"/>
                <w:sz w:val="20"/>
                <w:szCs w:val="20"/>
              </w:rPr>
            </w:pPr>
            <w:r>
              <w:rPr>
                <w:rFonts w:cs="宋体"/>
                <w:color w:val="000000"/>
                <w:sz w:val="20"/>
                <w:szCs w:val="20"/>
              </w:rPr>
              <w:t>2210201</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住房公积金</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13.46</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13.46</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10" w:hRule="atLeast"/>
        </w:trPr>
        <w:tc>
          <w:tcPr>
            <w:tcW w:w="1139" w:type="dxa"/>
            <w:gridSpan w:val="3"/>
            <w:tcBorders>
              <w:top w:val="nil"/>
              <w:left w:val="single" w:color="000000" w:sz="12" w:space="0"/>
              <w:bottom w:val="single" w:color="000000" w:sz="4" w:space="0"/>
              <w:right w:val="single" w:color="000000" w:sz="4" w:space="0"/>
            </w:tcBorders>
            <w:shd w:val="clear" w:color="auto" w:fill="auto"/>
            <w:noWrap/>
            <w:vAlign w:val="center"/>
          </w:tcPr>
          <w:p>
            <w:pPr>
              <w:textAlignment w:val="center"/>
              <w:rPr>
                <w:rFonts w:hint="default"/>
                <w:color w:val="000000"/>
                <w:sz w:val="20"/>
                <w:szCs w:val="20"/>
              </w:rPr>
            </w:pPr>
            <w:r>
              <w:rPr>
                <w:rFonts w:cs="宋体"/>
                <w:color w:val="000000"/>
                <w:sz w:val="20"/>
                <w:szCs w:val="20"/>
              </w:rPr>
              <w:t>2210202</w:t>
            </w:r>
          </w:p>
        </w:tc>
        <w:tc>
          <w:tcPr>
            <w:tcW w:w="1935" w:type="dxa"/>
            <w:tcBorders>
              <w:top w:val="nil"/>
              <w:left w:val="nil"/>
              <w:bottom w:val="single" w:color="000000" w:sz="4"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提租补贴</w:t>
            </w:r>
          </w:p>
        </w:tc>
        <w:tc>
          <w:tcPr>
            <w:tcW w:w="901"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3.74</w:t>
            </w:r>
          </w:p>
        </w:tc>
        <w:tc>
          <w:tcPr>
            <w:tcW w:w="1064"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3.74</w:t>
            </w:r>
          </w:p>
        </w:tc>
        <w:tc>
          <w:tcPr>
            <w:tcW w:w="109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4"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4"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40" w:hRule="atLeast"/>
        </w:trPr>
        <w:tc>
          <w:tcPr>
            <w:tcW w:w="1139" w:type="dxa"/>
            <w:gridSpan w:val="3"/>
            <w:tcBorders>
              <w:top w:val="nil"/>
              <w:left w:val="single" w:color="000000" w:sz="12" w:space="0"/>
              <w:bottom w:val="single" w:color="000000" w:sz="12" w:space="0"/>
              <w:right w:val="single" w:color="000000" w:sz="4" w:space="0"/>
            </w:tcBorders>
            <w:shd w:val="clear" w:color="auto" w:fill="auto"/>
            <w:noWrap/>
            <w:vAlign w:val="center"/>
          </w:tcPr>
          <w:p>
            <w:pPr>
              <w:textAlignment w:val="center"/>
              <w:rPr>
                <w:rFonts w:hint="default"/>
                <w:color w:val="000000"/>
                <w:sz w:val="20"/>
                <w:szCs w:val="20"/>
              </w:rPr>
            </w:pPr>
            <w:r>
              <w:rPr>
                <w:rFonts w:cs="宋体"/>
                <w:color w:val="000000"/>
                <w:sz w:val="20"/>
                <w:szCs w:val="20"/>
              </w:rPr>
              <w:t>2210203</w:t>
            </w:r>
          </w:p>
        </w:tc>
        <w:tc>
          <w:tcPr>
            <w:tcW w:w="1935" w:type="dxa"/>
            <w:tcBorders>
              <w:top w:val="nil"/>
              <w:left w:val="nil"/>
              <w:bottom w:val="single" w:color="000000" w:sz="12" w:space="0"/>
              <w:right w:val="single" w:color="000000"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购房补贴</w:t>
            </w:r>
          </w:p>
        </w:tc>
        <w:tc>
          <w:tcPr>
            <w:tcW w:w="901" w:type="dxa"/>
            <w:tcBorders>
              <w:top w:val="nil"/>
              <w:left w:val="nil"/>
              <w:bottom w:val="single" w:color="000000" w:sz="12"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3.22</w:t>
            </w:r>
          </w:p>
        </w:tc>
        <w:tc>
          <w:tcPr>
            <w:tcW w:w="1064" w:type="dxa"/>
            <w:tcBorders>
              <w:top w:val="nil"/>
              <w:left w:val="nil"/>
              <w:bottom w:val="single" w:color="000000" w:sz="12"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3.22</w:t>
            </w:r>
          </w:p>
        </w:tc>
        <w:tc>
          <w:tcPr>
            <w:tcW w:w="1095" w:type="dxa"/>
            <w:tcBorders>
              <w:top w:val="nil"/>
              <w:left w:val="nil"/>
              <w:bottom w:val="single" w:color="000000" w:sz="12"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85" w:type="dxa"/>
            <w:tcBorders>
              <w:top w:val="nil"/>
              <w:left w:val="nil"/>
              <w:bottom w:val="single" w:color="000000" w:sz="12"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825" w:type="dxa"/>
            <w:tcBorders>
              <w:top w:val="nil"/>
              <w:left w:val="nil"/>
              <w:bottom w:val="single" w:color="000000" w:sz="12"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90" w:type="dxa"/>
            <w:tcBorders>
              <w:top w:val="nil"/>
              <w:left w:val="nil"/>
              <w:bottom w:val="single" w:color="000000" w:sz="12"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675" w:type="dxa"/>
            <w:tcBorders>
              <w:top w:val="nil"/>
              <w:left w:val="nil"/>
              <w:bottom w:val="single" w:color="000000" w:sz="12" w:space="0"/>
              <w:right w:val="single" w:color="000000"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735" w:type="dxa"/>
            <w:tcBorders>
              <w:top w:val="nil"/>
              <w:left w:val="nil"/>
              <w:bottom w:val="single" w:color="000000" w:sz="12" w:space="0"/>
              <w:right w:val="single" w:color="000000" w:sz="12"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bl>
    <w:p>
      <w:pPr>
        <w:pStyle w:val="21"/>
        <w:rPr>
          <w:rFonts w:hint="default" w:cs="宋体"/>
        </w:rPr>
      </w:pPr>
      <w:r>
        <w:rPr>
          <w:rFonts w:cs="宋体"/>
        </w:rPr>
        <w:t>注：本表反映部门本年度取得的各项收入情况。</w:t>
      </w:r>
    </w:p>
    <w:p>
      <w:pPr>
        <w:pStyle w:val="4"/>
        <w:outlineLvl w:val="9"/>
        <w:rPr>
          <w:rFonts w:cs="宋体"/>
        </w:rPr>
      </w:pPr>
      <w:bookmarkStart w:id="50" w:name="_Toc1797"/>
      <w:bookmarkEnd w:id="50"/>
    </w:p>
    <w:p>
      <w:pPr>
        <w:pStyle w:val="4"/>
        <w:outlineLvl w:val="9"/>
        <w:rPr>
          <w:rFonts w:cs="宋体"/>
        </w:rPr>
      </w:pPr>
    </w:p>
    <w:p>
      <w:pPr>
        <w:pStyle w:val="4"/>
        <w:outlineLvl w:val="9"/>
        <w:rPr>
          <w:rFonts w:cs="宋体"/>
        </w:rPr>
      </w:pPr>
    </w:p>
    <w:p>
      <w:pPr>
        <w:pStyle w:val="4"/>
        <w:rPr>
          <w:rFonts w:hint="default" w:cs="宋体"/>
        </w:rPr>
      </w:pPr>
      <w:bookmarkStart w:id="51" w:name="_Toc31905"/>
      <w:bookmarkStart w:id="52" w:name="_Toc9344"/>
      <w:bookmarkStart w:id="53" w:name="_Toc9178"/>
      <w:bookmarkStart w:id="54" w:name="_Toc3469"/>
      <w:bookmarkStart w:id="55" w:name="_Toc30255"/>
      <w:bookmarkStart w:id="56" w:name="_Toc2042"/>
      <w:r>
        <w:rPr>
          <w:rFonts w:cs="宋体"/>
        </w:rPr>
        <w:t>三、支出决算表</w:t>
      </w:r>
      <w:bookmarkEnd w:id="51"/>
      <w:bookmarkEnd w:id="52"/>
      <w:bookmarkEnd w:id="53"/>
      <w:bookmarkEnd w:id="54"/>
      <w:bookmarkEnd w:id="55"/>
      <w:bookmarkEnd w:id="56"/>
    </w:p>
    <w:tbl>
      <w:tblPr>
        <w:tblStyle w:val="15"/>
        <w:tblW w:w="9720" w:type="dxa"/>
        <w:tblInd w:w="-571" w:type="dxa"/>
        <w:tblLayout w:type="fixed"/>
        <w:tblCellMar>
          <w:top w:w="0" w:type="dxa"/>
          <w:left w:w="108" w:type="dxa"/>
          <w:bottom w:w="0" w:type="dxa"/>
          <w:right w:w="108" w:type="dxa"/>
        </w:tblCellMar>
      </w:tblPr>
      <w:tblGrid>
        <w:gridCol w:w="540"/>
        <w:gridCol w:w="495"/>
        <w:gridCol w:w="495"/>
        <w:gridCol w:w="2400"/>
        <w:gridCol w:w="915"/>
        <w:gridCol w:w="885"/>
        <w:gridCol w:w="960"/>
        <w:gridCol w:w="810"/>
        <w:gridCol w:w="960"/>
        <w:gridCol w:w="1260"/>
      </w:tblGrid>
      <w:tr>
        <w:tblPrEx>
          <w:tblCellMar>
            <w:top w:w="0" w:type="dxa"/>
            <w:left w:w="108" w:type="dxa"/>
            <w:bottom w:w="0" w:type="dxa"/>
            <w:right w:w="108" w:type="dxa"/>
          </w:tblCellMar>
        </w:tblPrEx>
        <w:trPr>
          <w:trHeight w:val="495" w:hRule="atLeast"/>
        </w:trPr>
        <w:tc>
          <w:tcPr>
            <w:tcW w:w="9720" w:type="dxa"/>
            <w:gridSpan w:val="10"/>
            <w:tcBorders>
              <w:top w:val="nil"/>
              <w:left w:val="nil"/>
              <w:bottom w:val="nil"/>
              <w:right w:val="nil"/>
            </w:tcBorders>
            <w:shd w:val="clear" w:color="auto" w:fill="auto"/>
            <w:noWrap/>
            <w:vAlign w:val="bottom"/>
          </w:tcPr>
          <w:p>
            <w:pPr>
              <w:spacing w:beforeAutospacing="1" w:afterAutospacing="1"/>
              <w:jc w:val="center"/>
              <w:rPr>
                <w:rFonts w:hint="default"/>
                <w:color w:val="000000"/>
                <w:sz w:val="44"/>
                <w:szCs w:val="44"/>
              </w:rPr>
            </w:pPr>
            <w:r>
              <w:rPr>
                <w:rFonts w:cs="宋体"/>
                <w:color w:val="000000"/>
                <w:sz w:val="32"/>
                <w:szCs w:val="32"/>
              </w:rPr>
              <w:t>支出决算表</w:t>
            </w:r>
          </w:p>
        </w:tc>
      </w:tr>
      <w:tr>
        <w:tblPrEx>
          <w:tblCellMar>
            <w:top w:w="0" w:type="dxa"/>
            <w:left w:w="108" w:type="dxa"/>
            <w:bottom w:w="0" w:type="dxa"/>
            <w:right w:w="108" w:type="dxa"/>
          </w:tblCellMar>
        </w:tblPrEx>
        <w:trPr>
          <w:trHeight w:val="300" w:hRule="atLeast"/>
        </w:trPr>
        <w:tc>
          <w:tcPr>
            <w:tcW w:w="9720" w:type="dxa"/>
            <w:gridSpan w:val="10"/>
            <w:tcBorders>
              <w:top w:val="nil"/>
              <w:left w:val="nil"/>
              <w:bottom w:val="nil"/>
              <w:right w:val="nil"/>
            </w:tcBorders>
            <w:shd w:val="clear" w:color="auto" w:fill="auto"/>
            <w:noWrap/>
            <w:vAlign w:val="bottom"/>
          </w:tcPr>
          <w:p>
            <w:pPr>
              <w:spacing w:beforeAutospacing="1" w:afterAutospacing="1"/>
              <w:jc w:val="right"/>
              <w:rPr>
                <w:rFonts w:hint="default"/>
                <w:color w:val="000000"/>
              </w:rPr>
            </w:pPr>
            <w:r>
              <w:rPr>
                <w:rFonts w:cs="宋体"/>
                <w:color w:val="000000"/>
                <w:sz w:val="20"/>
                <w:szCs w:val="20"/>
              </w:rPr>
              <w:t>公开03表</w:t>
            </w:r>
          </w:p>
        </w:tc>
      </w:tr>
      <w:tr>
        <w:tblPrEx>
          <w:tblCellMar>
            <w:top w:w="0" w:type="dxa"/>
            <w:left w:w="108" w:type="dxa"/>
            <w:bottom w:w="0" w:type="dxa"/>
            <w:right w:w="108" w:type="dxa"/>
          </w:tblCellMar>
        </w:tblPrEx>
        <w:trPr>
          <w:trHeight w:val="315" w:hRule="atLeast"/>
        </w:trPr>
        <w:tc>
          <w:tcPr>
            <w:tcW w:w="3930" w:type="dxa"/>
            <w:gridSpan w:val="4"/>
            <w:tcBorders>
              <w:top w:val="nil"/>
              <w:left w:val="nil"/>
              <w:bottom w:val="nil"/>
              <w:right w:val="nil"/>
            </w:tcBorders>
            <w:shd w:val="clear" w:color="auto" w:fill="auto"/>
            <w:noWrap/>
            <w:vAlign w:val="bottom"/>
          </w:tcPr>
          <w:p>
            <w:pPr>
              <w:spacing w:beforeAutospacing="1" w:afterAutospacing="1"/>
              <w:rPr>
                <w:rFonts w:hint="default"/>
                <w:color w:val="000000"/>
              </w:rPr>
            </w:pPr>
            <w:r>
              <w:rPr>
                <w:rFonts w:cs="宋体"/>
                <w:color w:val="000000"/>
                <w:sz w:val="20"/>
                <w:szCs w:val="20"/>
              </w:rPr>
              <w:t>部门：福州市建筑垃圾工程渣土处置中心</w:t>
            </w:r>
          </w:p>
        </w:tc>
        <w:tc>
          <w:tcPr>
            <w:tcW w:w="915" w:type="dxa"/>
            <w:tcBorders>
              <w:top w:val="nil"/>
              <w:left w:val="nil"/>
              <w:bottom w:val="nil"/>
              <w:right w:val="nil"/>
            </w:tcBorders>
            <w:shd w:val="clear" w:color="auto" w:fill="auto"/>
            <w:noWrap/>
            <w:vAlign w:val="bottom"/>
          </w:tcPr>
          <w:p>
            <w:pPr>
              <w:rPr>
                <w:rFonts w:hint="default"/>
              </w:rPr>
            </w:pPr>
            <w:r>
              <w:rPr>
                <w:rFonts w:cs="宋体"/>
              </w:rPr>
              <w:t> </w:t>
            </w:r>
          </w:p>
        </w:tc>
        <w:tc>
          <w:tcPr>
            <w:tcW w:w="885" w:type="dxa"/>
            <w:tcBorders>
              <w:top w:val="nil"/>
              <w:left w:val="nil"/>
              <w:bottom w:val="nil"/>
              <w:right w:val="nil"/>
            </w:tcBorders>
            <w:shd w:val="clear" w:color="auto" w:fill="auto"/>
            <w:noWrap/>
            <w:vAlign w:val="bottom"/>
          </w:tcPr>
          <w:p>
            <w:pPr>
              <w:rPr>
                <w:rFonts w:hint="default"/>
              </w:rPr>
            </w:pPr>
            <w:r>
              <w:rPr>
                <w:rFonts w:cs="宋体"/>
              </w:rPr>
              <w:t> </w:t>
            </w:r>
          </w:p>
        </w:tc>
        <w:tc>
          <w:tcPr>
            <w:tcW w:w="960" w:type="dxa"/>
            <w:tcBorders>
              <w:top w:val="nil"/>
              <w:left w:val="nil"/>
              <w:bottom w:val="nil"/>
              <w:right w:val="nil"/>
            </w:tcBorders>
            <w:shd w:val="clear" w:color="auto" w:fill="auto"/>
            <w:noWrap/>
            <w:vAlign w:val="bottom"/>
          </w:tcPr>
          <w:p>
            <w:pPr>
              <w:rPr>
                <w:rFonts w:hint="default"/>
              </w:rPr>
            </w:pPr>
            <w:r>
              <w:rPr>
                <w:rFonts w:cs="宋体"/>
              </w:rPr>
              <w:t> </w:t>
            </w:r>
          </w:p>
        </w:tc>
        <w:tc>
          <w:tcPr>
            <w:tcW w:w="810" w:type="dxa"/>
            <w:tcBorders>
              <w:top w:val="nil"/>
              <w:left w:val="nil"/>
              <w:bottom w:val="single" w:color="auto" w:sz="4" w:space="0"/>
              <w:right w:val="nil"/>
            </w:tcBorders>
            <w:shd w:val="clear" w:color="auto" w:fill="auto"/>
            <w:noWrap/>
            <w:vAlign w:val="bottom"/>
          </w:tcPr>
          <w:p>
            <w:pPr>
              <w:rPr>
                <w:rFonts w:hint="default"/>
              </w:rPr>
            </w:pPr>
            <w:r>
              <w:rPr>
                <w:rFonts w:cs="宋体"/>
              </w:rPr>
              <w:t> </w:t>
            </w:r>
          </w:p>
        </w:tc>
        <w:tc>
          <w:tcPr>
            <w:tcW w:w="2220" w:type="dxa"/>
            <w:gridSpan w:val="2"/>
            <w:tcBorders>
              <w:top w:val="nil"/>
              <w:left w:val="nil"/>
              <w:bottom w:val="single" w:color="auto" w:sz="4" w:space="0"/>
              <w:right w:val="nil"/>
            </w:tcBorders>
            <w:shd w:val="clear" w:color="auto" w:fill="auto"/>
            <w:noWrap/>
            <w:vAlign w:val="bottom"/>
          </w:tcPr>
          <w:p>
            <w:pPr>
              <w:spacing w:beforeAutospacing="1" w:afterAutospacing="1"/>
              <w:rPr>
                <w:rFonts w:hint="default"/>
                <w:color w:val="000000"/>
                <w:sz w:val="20"/>
                <w:szCs w:val="20"/>
              </w:rPr>
            </w:pPr>
            <w:r>
              <w:rPr>
                <w:rFonts w:cs="宋体"/>
                <w:color w:val="000000"/>
              </w:rPr>
              <w:t xml:space="preserve">     </w:t>
            </w:r>
            <w:r>
              <w:rPr>
                <w:rFonts w:cs="宋体"/>
                <w:color w:val="000000"/>
                <w:sz w:val="20"/>
                <w:szCs w:val="20"/>
              </w:rPr>
              <w:t>金额单位：万元</w:t>
            </w:r>
          </w:p>
        </w:tc>
      </w:tr>
      <w:tr>
        <w:tblPrEx>
          <w:tblCellMar>
            <w:top w:w="0" w:type="dxa"/>
            <w:left w:w="108" w:type="dxa"/>
            <w:bottom w:w="0" w:type="dxa"/>
            <w:right w:w="108" w:type="dxa"/>
          </w:tblCellMar>
        </w:tblPrEx>
        <w:trPr>
          <w:trHeight w:val="308" w:hRule="atLeast"/>
        </w:trPr>
        <w:tc>
          <w:tcPr>
            <w:tcW w:w="3930" w:type="dxa"/>
            <w:gridSpan w:val="4"/>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w:t>
            </w:r>
          </w:p>
        </w:tc>
        <w:tc>
          <w:tcPr>
            <w:tcW w:w="91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本年支出合计</w:t>
            </w:r>
          </w:p>
        </w:tc>
        <w:tc>
          <w:tcPr>
            <w:tcW w:w="88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基本支出</w:t>
            </w:r>
          </w:p>
        </w:tc>
        <w:tc>
          <w:tcPr>
            <w:tcW w:w="960" w:type="dxa"/>
            <w:vMerge w:val="restart"/>
            <w:tcBorders>
              <w:top w:val="single" w:color="000000" w:sz="8" w:space="0"/>
              <w:left w:val="nil"/>
              <w:bottom w:val="single" w:color="000000"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项目支出</w:t>
            </w:r>
          </w:p>
        </w:tc>
        <w:tc>
          <w:tcPr>
            <w:tcW w:w="81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上缴上级支出</w:t>
            </w:r>
          </w:p>
        </w:tc>
        <w:tc>
          <w:tcPr>
            <w:tcW w:w="96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经营支出</w:t>
            </w:r>
          </w:p>
        </w:tc>
        <w:tc>
          <w:tcPr>
            <w:tcW w:w="1260" w:type="dxa"/>
            <w:vMerge w:val="restart"/>
            <w:tcBorders>
              <w:top w:val="single" w:color="auto" w:sz="4" w:space="0"/>
              <w:left w:val="nil"/>
              <w:bottom w:val="nil"/>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对附属单位补助支出</w:t>
            </w:r>
          </w:p>
        </w:tc>
      </w:tr>
      <w:tr>
        <w:tblPrEx>
          <w:tblCellMar>
            <w:top w:w="0" w:type="dxa"/>
            <w:left w:w="108" w:type="dxa"/>
            <w:bottom w:w="0" w:type="dxa"/>
            <w:right w:w="108" w:type="dxa"/>
          </w:tblCellMar>
        </w:tblPrEx>
        <w:trPr>
          <w:trHeight w:val="976" w:hRule="atLeast"/>
        </w:trPr>
        <w:tc>
          <w:tcPr>
            <w:tcW w:w="153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支出功能分类科目编码</w:t>
            </w:r>
          </w:p>
        </w:tc>
        <w:tc>
          <w:tcPr>
            <w:tcW w:w="240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91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8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960" w:type="dxa"/>
            <w:vMerge w:val="continue"/>
            <w:tcBorders>
              <w:top w:val="single" w:color="000000" w:sz="8" w:space="0"/>
              <w:left w:val="nil"/>
              <w:bottom w:val="single" w:color="000000" w:sz="4" w:space="0"/>
              <w:right w:val="single" w:color="auto" w:sz="4" w:space="0"/>
            </w:tcBorders>
            <w:shd w:val="clear" w:color="auto" w:fill="auto"/>
            <w:vAlign w:val="center"/>
          </w:tcPr>
          <w:p>
            <w:pPr>
              <w:rPr>
                <w:rFonts w:hint="default" w:ascii="Times New Roman" w:hAnsi="Times New Roman"/>
                <w:sz w:val="20"/>
                <w:szCs w:val="20"/>
              </w:rPr>
            </w:pPr>
          </w:p>
        </w:tc>
        <w:tc>
          <w:tcPr>
            <w:tcW w:w="81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96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60" w:type="dxa"/>
            <w:vMerge w:val="continue"/>
            <w:tcBorders>
              <w:top w:val="single" w:color="auto" w:sz="4" w:space="0"/>
              <w:left w:val="nil"/>
              <w:bottom w:val="nil"/>
              <w:right w:val="single" w:color="auto" w:sz="4"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08" w:hRule="atLeas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类</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款</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合计</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750.15</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199.84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550.31</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社会保障和就业支出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20805</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行政事业单位养老支出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事业单位离退休</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9.00</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9.00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2080505</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机关事业单位基本养老保险缴费支出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13.22</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13.22</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2080506</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机关事业单位职业年金缴费支出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6.20</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6.20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701.97</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151.66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550.31</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21205</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城乡社区环境卫生</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701.97</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151.66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550.31</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2120501</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城乡社区环境卫生</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701.97</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151.66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550.31</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住房保障支出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22102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住房改革支出</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2210201</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住房公积金</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13.04</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13.04</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2210202</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提租补贴</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3.99</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3.99</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270" w:hRule="atLeast"/>
        </w:trPr>
        <w:tc>
          <w:tcPr>
            <w:tcW w:w="153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2210203</w:t>
            </w:r>
          </w:p>
        </w:tc>
        <w:tc>
          <w:tcPr>
            <w:tcW w:w="2400" w:type="dxa"/>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购房补贴</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2.73</w:t>
            </w:r>
          </w:p>
        </w:tc>
        <w:tc>
          <w:tcPr>
            <w:tcW w:w="885"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2.73</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bl>
    <w:p>
      <w:pPr>
        <w:pStyle w:val="21"/>
        <w:rPr>
          <w:rFonts w:hint="default" w:cs="宋体"/>
        </w:rPr>
      </w:pPr>
      <w:r>
        <w:rPr>
          <w:rFonts w:cs="宋体"/>
        </w:rPr>
        <w:t>注：本表反映部门本年度各项支出情况。</w:t>
      </w:r>
    </w:p>
    <w:p>
      <w:pPr>
        <w:pStyle w:val="4"/>
        <w:rPr>
          <w:rFonts w:hint="default" w:cs="宋体"/>
        </w:rPr>
      </w:pPr>
      <w:bookmarkStart w:id="57" w:name="_Toc32590"/>
      <w:bookmarkEnd w:id="57"/>
      <w:bookmarkStart w:id="58" w:name="_Toc14963"/>
      <w:bookmarkStart w:id="59" w:name="_Toc12247"/>
      <w:bookmarkStart w:id="60" w:name="_Toc9059"/>
      <w:bookmarkStart w:id="61" w:name="_Toc13721"/>
      <w:bookmarkStart w:id="62" w:name="_Toc21388"/>
      <w:bookmarkStart w:id="63" w:name="_Toc9176"/>
      <w:r>
        <w:rPr>
          <w:rFonts w:cs="宋体"/>
        </w:rPr>
        <w:t>四、财政拨款收入支出决算总表</w:t>
      </w:r>
      <w:bookmarkEnd w:id="58"/>
      <w:bookmarkEnd w:id="59"/>
      <w:bookmarkEnd w:id="60"/>
      <w:bookmarkEnd w:id="61"/>
      <w:bookmarkEnd w:id="62"/>
      <w:bookmarkEnd w:id="63"/>
    </w:p>
    <w:tbl>
      <w:tblPr>
        <w:tblStyle w:val="15"/>
        <w:tblW w:w="9675" w:type="dxa"/>
        <w:tblInd w:w="-586" w:type="dxa"/>
        <w:tblLayout w:type="fixed"/>
        <w:tblCellMar>
          <w:top w:w="0" w:type="dxa"/>
          <w:left w:w="108" w:type="dxa"/>
          <w:bottom w:w="0" w:type="dxa"/>
          <w:right w:w="108" w:type="dxa"/>
        </w:tblCellMar>
      </w:tblPr>
      <w:tblGrid>
        <w:gridCol w:w="1800"/>
        <w:gridCol w:w="930"/>
        <w:gridCol w:w="385"/>
        <w:gridCol w:w="1716"/>
        <w:gridCol w:w="734"/>
        <w:gridCol w:w="90"/>
        <w:gridCol w:w="1050"/>
        <w:gridCol w:w="1106"/>
        <w:gridCol w:w="949"/>
        <w:gridCol w:w="915"/>
      </w:tblGrid>
      <w:tr>
        <w:tblPrEx>
          <w:tblCellMar>
            <w:top w:w="0" w:type="dxa"/>
            <w:left w:w="108" w:type="dxa"/>
            <w:bottom w:w="0" w:type="dxa"/>
            <w:right w:w="108" w:type="dxa"/>
          </w:tblCellMar>
        </w:tblPrEx>
        <w:trPr>
          <w:trHeight w:val="540" w:hRule="atLeast"/>
        </w:trPr>
        <w:tc>
          <w:tcPr>
            <w:tcW w:w="9675" w:type="dxa"/>
            <w:gridSpan w:val="10"/>
            <w:tcBorders>
              <w:top w:val="nil"/>
              <w:left w:val="nil"/>
              <w:bottom w:val="nil"/>
              <w:right w:val="nil"/>
            </w:tcBorders>
            <w:shd w:val="clear" w:color="auto" w:fill="auto"/>
            <w:noWrap/>
            <w:vAlign w:val="bottom"/>
          </w:tcPr>
          <w:p>
            <w:pPr>
              <w:spacing w:beforeAutospacing="1" w:afterAutospacing="1"/>
              <w:jc w:val="center"/>
              <w:rPr>
                <w:rFonts w:hint="default"/>
                <w:color w:val="000000"/>
                <w:sz w:val="36"/>
                <w:szCs w:val="36"/>
              </w:rPr>
            </w:pPr>
            <w:r>
              <w:rPr>
                <w:rFonts w:cs="宋体"/>
                <w:color w:val="000000"/>
                <w:sz w:val="32"/>
                <w:szCs w:val="32"/>
              </w:rPr>
              <w:t>财政拨款收入支出决算总表</w:t>
            </w:r>
          </w:p>
        </w:tc>
      </w:tr>
      <w:tr>
        <w:tblPrEx>
          <w:tblCellMar>
            <w:top w:w="0" w:type="dxa"/>
            <w:left w:w="108" w:type="dxa"/>
            <w:bottom w:w="0" w:type="dxa"/>
            <w:right w:w="108" w:type="dxa"/>
          </w:tblCellMar>
        </w:tblPrEx>
        <w:trPr>
          <w:trHeight w:val="255" w:hRule="atLeast"/>
        </w:trPr>
        <w:tc>
          <w:tcPr>
            <w:tcW w:w="3115" w:type="dxa"/>
            <w:gridSpan w:val="3"/>
            <w:tcBorders>
              <w:top w:val="nil"/>
              <w:left w:val="nil"/>
              <w:bottom w:val="nil"/>
              <w:right w:val="nil"/>
            </w:tcBorders>
            <w:shd w:val="clear" w:color="auto" w:fill="auto"/>
            <w:noWrap/>
            <w:vAlign w:val="bottom"/>
          </w:tcPr>
          <w:p>
            <w:pPr>
              <w:rPr>
                <w:rFonts w:hint="default"/>
              </w:rPr>
            </w:pPr>
            <w:r>
              <w:rPr>
                <w:rFonts w:cs="宋体"/>
              </w:rPr>
              <w:t> </w:t>
            </w:r>
          </w:p>
        </w:tc>
        <w:tc>
          <w:tcPr>
            <w:tcW w:w="2450" w:type="dxa"/>
            <w:gridSpan w:val="2"/>
            <w:tcBorders>
              <w:top w:val="nil"/>
              <w:left w:val="nil"/>
              <w:bottom w:val="nil"/>
              <w:right w:val="nil"/>
            </w:tcBorders>
            <w:shd w:val="clear" w:color="auto" w:fill="auto"/>
            <w:vAlign w:val="bottom"/>
          </w:tcPr>
          <w:p>
            <w:pPr>
              <w:spacing w:beforeAutospacing="1" w:afterAutospacing="1"/>
              <w:ind w:right="206" w:rightChars="86"/>
              <w:jc w:val="right"/>
              <w:rPr>
                <w:rFonts w:hint="default"/>
                <w:color w:val="000000"/>
                <w:sz w:val="20"/>
                <w:szCs w:val="20"/>
              </w:rPr>
            </w:pPr>
          </w:p>
        </w:tc>
        <w:tc>
          <w:tcPr>
            <w:tcW w:w="4110" w:type="dxa"/>
            <w:gridSpan w:val="5"/>
            <w:tcBorders>
              <w:top w:val="nil"/>
              <w:left w:val="nil"/>
              <w:bottom w:val="nil"/>
              <w:right w:val="nil"/>
            </w:tcBorders>
            <w:shd w:val="clear" w:color="auto" w:fill="auto"/>
            <w:vAlign w:val="bottom"/>
          </w:tcPr>
          <w:p>
            <w:pPr>
              <w:spacing w:beforeAutospacing="1" w:afterAutospacing="1"/>
              <w:ind w:right="206" w:rightChars="86"/>
              <w:jc w:val="right"/>
              <w:rPr>
                <w:rFonts w:hint="default"/>
                <w:color w:val="000000"/>
                <w:sz w:val="20"/>
                <w:szCs w:val="20"/>
              </w:rPr>
            </w:pPr>
            <w:r>
              <w:rPr>
                <w:rFonts w:cs="宋体"/>
                <w:color w:val="000000"/>
                <w:sz w:val="20"/>
                <w:szCs w:val="20"/>
              </w:rPr>
              <w:t>公开04表</w:t>
            </w:r>
          </w:p>
        </w:tc>
      </w:tr>
      <w:tr>
        <w:tblPrEx>
          <w:tblCellMar>
            <w:top w:w="0" w:type="dxa"/>
            <w:left w:w="108" w:type="dxa"/>
            <w:bottom w:w="0" w:type="dxa"/>
            <w:right w:w="108" w:type="dxa"/>
          </w:tblCellMar>
        </w:tblPrEx>
        <w:trPr>
          <w:trHeight w:val="315" w:hRule="atLeast"/>
        </w:trPr>
        <w:tc>
          <w:tcPr>
            <w:tcW w:w="4831" w:type="dxa"/>
            <w:gridSpan w:val="4"/>
            <w:tcBorders>
              <w:top w:val="nil"/>
              <w:left w:val="nil"/>
              <w:bottom w:val="nil"/>
              <w:right w:val="nil"/>
            </w:tcBorders>
            <w:shd w:val="clear" w:color="auto" w:fill="auto"/>
            <w:noWrap/>
            <w:vAlign w:val="bottom"/>
          </w:tcPr>
          <w:p>
            <w:pPr>
              <w:spacing w:beforeAutospacing="1" w:afterAutospacing="1"/>
              <w:rPr>
                <w:rFonts w:hint="default"/>
                <w:color w:val="000000"/>
              </w:rPr>
            </w:pPr>
            <w:r>
              <w:rPr>
                <w:rFonts w:cs="宋体"/>
                <w:color w:val="000000"/>
                <w:sz w:val="20"/>
                <w:szCs w:val="20"/>
              </w:rPr>
              <w:t>部门</w:t>
            </w:r>
            <w:r>
              <w:rPr>
                <w:rFonts w:cs="宋体"/>
                <w:color w:val="000000"/>
              </w:rPr>
              <w:t>：</w:t>
            </w:r>
            <w:r>
              <w:rPr>
                <w:rFonts w:cs="宋体"/>
                <w:color w:val="000000"/>
                <w:sz w:val="20"/>
                <w:szCs w:val="20"/>
              </w:rPr>
              <w:t>福州市建筑垃圾工程渣土处置中心</w:t>
            </w:r>
          </w:p>
        </w:tc>
        <w:tc>
          <w:tcPr>
            <w:tcW w:w="1874" w:type="dxa"/>
            <w:gridSpan w:val="3"/>
            <w:tcBorders>
              <w:top w:val="nil"/>
              <w:left w:val="nil"/>
              <w:bottom w:val="single" w:color="auto" w:sz="4" w:space="0"/>
              <w:right w:val="nil"/>
            </w:tcBorders>
            <w:shd w:val="clear" w:color="auto" w:fill="auto"/>
            <w:noWrap/>
            <w:vAlign w:val="bottom"/>
          </w:tcPr>
          <w:p>
            <w:pPr>
              <w:rPr>
                <w:rFonts w:hint="default"/>
              </w:rPr>
            </w:pPr>
            <w:r>
              <w:rPr>
                <w:rFonts w:cs="宋体"/>
              </w:rPr>
              <w:t> </w:t>
            </w:r>
          </w:p>
        </w:tc>
        <w:tc>
          <w:tcPr>
            <w:tcW w:w="2970" w:type="dxa"/>
            <w:gridSpan w:val="3"/>
            <w:tcBorders>
              <w:top w:val="nil"/>
              <w:left w:val="nil"/>
              <w:bottom w:val="single" w:color="auto" w:sz="4" w:space="0"/>
              <w:right w:val="nil"/>
            </w:tcBorders>
            <w:shd w:val="clear" w:color="auto" w:fill="auto"/>
            <w:vAlign w:val="bottom"/>
          </w:tcPr>
          <w:p>
            <w:pPr>
              <w:spacing w:beforeAutospacing="1" w:afterAutospacing="1"/>
              <w:ind w:right="206" w:rightChars="86"/>
              <w:jc w:val="right"/>
              <w:rPr>
                <w:rFonts w:hint="default"/>
                <w:color w:val="000000"/>
                <w:sz w:val="20"/>
                <w:szCs w:val="20"/>
              </w:rPr>
            </w:pPr>
            <w:r>
              <w:rPr>
                <w:rFonts w:cs="宋体"/>
                <w:color w:val="000000"/>
                <w:sz w:val="20"/>
                <w:szCs w:val="20"/>
              </w:rPr>
              <w:t>单位：万元</w:t>
            </w:r>
          </w:p>
        </w:tc>
      </w:tr>
      <w:tr>
        <w:tblPrEx>
          <w:tblCellMar>
            <w:top w:w="0" w:type="dxa"/>
            <w:left w:w="108" w:type="dxa"/>
            <w:bottom w:w="0" w:type="dxa"/>
            <w:right w:w="108" w:type="dxa"/>
          </w:tblCellMar>
        </w:tblPrEx>
        <w:trPr>
          <w:trHeight w:val="308" w:hRule="atLeast"/>
        </w:trPr>
        <w:tc>
          <w:tcPr>
            <w:tcW w:w="2730"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收     入</w:t>
            </w:r>
          </w:p>
        </w:tc>
        <w:tc>
          <w:tcPr>
            <w:tcW w:w="6945" w:type="dxa"/>
            <w:gridSpan w:val="8"/>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支     出</w:t>
            </w:r>
          </w:p>
        </w:tc>
      </w:tr>
      <w:tr>
        <w:tblPrEx>
          <w:tblCellMar>
            <w:top w:w="0" w:type="dxa"/>
            <w:left w:w="108" w:type="dxa"/>
            <w:bottom w:w="0" w:type="dxa"/>
            <w:right w:w="108" w:type="dxa"/>
          </w:tblCellMar>
        </w:tblPrEx>
        <w:trPr>
          <w:trHeight w:val="1238"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    目</w:t>
            </w:r>
          </w:p>
        </w:tc>
        <w:tc>
          <w:tcPr>
            <w:tcW w:w="930" w:type="dxa"/>
            <w:tcBorders>
              <w:top w:val="nil"/>
              <w:left w:val="nil"/>
              <w:bottom w:val="single" w:color="000000" w:sz="4" w:space="0"/>
              <w:right w:val="nil"/>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项目（按功能分类）</w:t>
            </w:r>
          </w:p>
        </w:tc>
        <w:tc>
          <w:tcPr>
            <w:tcW w:w="1050" w:type="dxa"/>
            <w:tcBorders>
              <w:top w:val="nil"/>
              <w:left w:val="nil"/>
              <w:bottom w:val="single" w:color="000000"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合计</w:t>
            </w:r>
          </w:p>
        </w:tc>
        <w:tc>
          <w:tcPr>
            <w:tcW w:w="1106"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一般公共预算财政拨款</w:t>
            </w:r>
          </w:p>
        </w:tc>
        <w:tc>
          <w:tcPr>
            <w:tcW w:w="949"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政府性基金预算财政拨款</w:t>
            </w:r>
          </w:p>
        </w:tc>
        <w:tc>
          <w:tcPr>
            <w:tcW w:w="915"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国有资本经营财政拨款</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color w:val="000000"/>
                <w:sz w:val="20"/>
                <w:szCs w:val="20"/>
              </w:rPr>
            </w:pPr>
            <w:r>
              <w:rPr>
                <w:rFonts w:cs="宋体"/>
                <w:color w:val="000000"/>
                <w:sz w:val="20"/>
                <w:szCs w:val="20"/>
              </w:rPr>
              <w:t>一、一般公共预算财政拨款</w:t>
            </w:r>
          </w:p>
        </w:tc>
        <w:tc>
          <w:tcPr>
            <w:tcW w:w="930" w:type="dxa"/>
            <w:tcBorders>
              <w:top w:val="nil"/>
              <w:left w:val="nil"/>
              <w:bottom w:val="single" w:color="000000" w:sz="4" w:space="0"/>
              <w:right w:val="nil"/>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760.94</w:t>
            </w:r>
          </w:p>
        </w:tc>
        <w:tc>
          <w:tcPr>
            <w:tcW w:w="29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一、一般公共服务支出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tcPr>
          <w:p>
            <w:pPr>
              <w:spacing w:beforeAutospacing="1" w:afterAutospacing="1"/>
              <w:rPr>
                <w:rFonts w:hint="default"/>
                <w:color w:val="000000"/>
                <w:sz w:val="20"/>
                <w:szCs w:val="20"/>
              </w:rPr>
            </w:pPr>
            <w:r>
              <w:rPr>
                <w:rFonts w:cs="宋体"/>
                <w:color w:val="000000"/>
                <w:sz w:val="20"/>
                <w:szCs w:val="20"/>
              </w:rPr>
              <w:t>二、政府性基金预算财政拨款</w:t>
            </w:r>
          </w:p>
        </w:tc>
        <w:tc>
          <w:tcPr>
            <w:tcW w:w="930" w:type="dxa"/>
            <w:tcBorders>
              <w:top w:val="nil"/>
              <w:left w:val="nil"/>
              <w:bottom w:val="single" w:color="000000" w:sz="4" w:space="0"/>
              <w:right w:val="nil"/>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二、外交支出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8" w:space="0"/>
              <w:right w:val="single" w:color="000000" w:sz="4" w:space="0"/>
            </w:tcBorders>
            <w:shd w:val="clear" w:color="auto" w:fill="auto"/>
            <w:noWrap/>
          </w:tcPr>
          <w:p>
            <w:pPr>
              <w:spacing w:beforeAutospacing="1" w:afterAutospacing="1"/>
              <w:rPr>
                <w:rFonts w:hint="default"/>
                <w:color w:val="000000"/>
                <w:sz w:val="20"/>
                <w:szCs w:val="20"/>
              </w:rPr>
            </w:pPr>
            <w:r>
              <w:rPr>
                <w:rFonts w:cs="宋体"/>
                <w:color w:val="000000"/>
                <w:sz w:val="20"/>
                <w:szCs w:val="20"/>
              </w:rPr>
              <w:t>三、国有资本经营预算财政拨款</w:t>
            </w:r>
          </w:p>
        </w:tc>
        <w:tc>
          <w:tcPr>
            <w:tcW w:w="930" w:type="dxa"/>
            <w:tcBorders>
              <w:top w:val="nil"/>
              <w:left w:val="nil"/>
              <w:bottom w:val="single" w:color="000000" w:sz="8" w:space="0"/>
              <w:right w:val="nil"/>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nil"/>
              <w:left w:val="single" w:color="auto" w:sz="4" w:space="0"/>
              <w:bottom w:val="single" w:color="000000" w:sz="8"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三、国防支出</w:t>
            </w:r>
          </w:p>
        </w:tc>
        <w:tc>
          <w:tcPr>
            <w:tcW w:w="1050" w:type="dxa"/>
            <w:tcBorders>
              <w:top w:val="nil"/>
              <w:left w:val="nil"/>
              <w:bottom w:val="single" w:color="000000" w:sz="8"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000000" w:sz="8"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000000" w:sz="8"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000000" w:sz="8"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rPr>
                <w:rFonts w:hint="default"/>
                <w:color w:val="000000"/>
                <w:sz w:val="20"/>
                <w:szCs w:val="20"/>
              </w:rPr>
            </w:pPr>
          </w:p>
        </w:tc>
        <w:tc>
          <w:tcPr>
            <w:tcW w:w="2925"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四、公共安全支出</w:t>
            </w:r>
          </w:p>
        </w:tc>
        <w:tc>
          <w:tcPr>
            <w:tcW w:w="10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000000" w:sz="8" w:space="0"/>
              <w:left w:val="single" w:color="000000" w:sz="8" w:space="0"/>
              <w:bottom w:val="single" w:color="000000" w:sz="8"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000000" w:sz="8" w:space="0"/>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single" w:color="000000" w:sz="8"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五、教育支出</w:t>
            </w:r>
          </w:p>
        </w:tc>
        <w:tc>
          <w:tcPr>
            <w:tcW w:w="1050" w:type="dxa"/>
            <w:tcBorders>
              <w:top w:val="single" w:color="000000" w:sz="8"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000000" w:sz="8"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000000" w:sz="8"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000000" w:sz="8"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六、科学技术支出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七、文化旅游体育与传媒支出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八、社会保障和就业支出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28.42</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28.42</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九、卫生健康支出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十、节能环保支出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十一、城乡社区支出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701.97</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701.97</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十二、农林水支出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十三、交通运输支出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十四、资源勘探信息等支出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十五、商业服务业等支出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十六、金融支出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auto"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十七、援助其他地区支出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十八、自然资源海洋气象等支出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auto" w:sz="4" w:space="0"/>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十九、住房保障支出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19.76</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19.76</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二十、粮油物资储备支出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二十一、国有资本经营预算支出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000000"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000000"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二十二、灾害防治及应急管理支出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nil"/>
              <w:left w:val="single" w:color="000000" w:sz="8" w:space="0"/>
              <w:bottom w:val="single" w:color="auto" w:sz="4" w:space="0"/>
              <w:right w:val="single" w:color="000000"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nil"/>
              <w:left w:val="nil"/>
              <w:bottom w:val="single" w:color="auto" w:sz="4" w:space="0"/>
              <w:right w:val="nil"/>
            </w:tcBorders>
            <w:shd w:val="clear" w:color="auto" w:fill="auto"/>
            <w:noWrap/>
            <w:vAlign w:val="center"/>
          </w:tcPr>
          <w:p>
            <w:pPr>
              <w:jc w:val="right"/>
              <w:rPr>
                <w:rFonts w:hint="default"/>
                <w:color w:val="000000"/>
                <w:sz w:val="20"/>
                <w:szCs w:val="20"/>
              </w:rPr>
            </w:pPr>
          </w:p>
        </w:tc>
        <w:tc>
          <w:tcPr>
            <w:tcW w:w="2925" w:type="dxa"/>
            <w:gridSpan w:val="4"/>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二十三、其他支出</w:t>
            </w:r>
          </w:p>
        </w:tc>
        <w:tc>
          <w:tcPr>
            <w:tcW w:w="1050"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nil"/>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二十四、债务还本支出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二十五、债务付息支出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b/>
                <w:bCs/>
                <w:color w:val="000000"/>
                <w:sz w:val="20"/>
                <w:szCs w:val="20"/>
              </w:rPr>
            </w:pPr>
            <w:r>
              <w:rPr>
                <w:rFonts w:cs="宋体"/>
                <w:color w:val="000000"/>
                <w:sz w:val="20"/>
                <w:szCs w:val="20"/>
              </w:rPr>
              <w:t>二十六、抗疫特别国债安排的支出</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本年收入合计</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760.94</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本年支出合计</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750.15</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750.15</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年初财政拨款结转和结余</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87.13</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年末财政拨款结转和结余</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97.92</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97.92</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ind w:firstLine="200" w:firstLineChars="100"/>
              <w:rPr>
                <w:rFonts w:hint="default"/>
                <w:color w:val="000000"/>
                <w:sz w:val="20"/>
                <w:szCs w:val="20"/>
              </w:rPr>
            </w:pPr>
            <w:r>
              <w:rPr>
                <w:rFonts w:cs="宋体"/>
                <w:color w:val="000000"/>
                <w:sz w:val="20"/>
                <w:szCs w:val="20"/>
              </w:rPr>
              <w:t>一般公共预算财政拨款</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87.13</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rPr>
                <w:rFonts w:hint="default"/>
                <w:color w:val="000000"/>
                <w:sz w:val="20"/>
                <w:szCs w:val="20"/>
              </w:rPr>
            </w:pP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ind w:firstLine="200" w:firstLineChars="100"/>
              <w:rPr>
                <w:rFonts w:hint="default"/>
                <w:color w:val="000000"/>
                <w:sz w:val="20"/>
                <w:szCs w:val="20"/>
              </w:rPr>
            </w:pPr>
            <w:r>
              <w:rPr>
                <w:rFonts w:cs="宋体"/>
                <w:color w:val="000000"/>
                <w:sz w:val="20"/>
                <w:szCs w:val="20"/>
              </w:rPr>
              <w:t>政府性基金预算财政拨款</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rPr>
                <w:rFonts w:hint="default"/>
                <w:color w:val="000000"/>
                <w:sz w:val="20"/>
                <w:szCs w:val="20"/>
              </w:rPr>
            </w:pPr>
          </w:p>
        </w:tc>
      </w:tr>
      <w:tr>
        <w:tblPrEx>
          <w:tblCellMar>
            <w:top w:w="0" w:type="dxa"/>
            <w:left w:w="108" w:type="dxa"/>
            <w:bottom w:w="0" w:type="dxa"/>
            <w:right w:w="108" w:type="dxa"/>
          </w:tblCellMar>
        </w:tblPrEx>
        <w:trPr>
          <w:trHeight w:val="83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国有资本经营预算财政拨款</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color w:val="000000"/>
                <w:sz w:val="20"/>
                <w:szCs w:val="20"/>
              </w:rPr>
            </w:pP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rPr>
                <w:rFonts w:hint="default"/>
                <w:color w:val="000000"/>
                <w:sz w:val="20"/>
                <w:szCs w:val="20"/>
              </w:rPr>
            </w:pPr>
          </w:p>
        </w:tc>
      </w:tr>
      <w:tr>
        <w:tblPrEx>
          <w:tblCellMar>
            <w:top w:w="0" w:type="dxa"/>
            <w:left w:w="108" w:type="dxa"/>
            <w:bottom w:w="0" w:type="dxa"/>
            <w:right w:w="108" w:type="dxa"/>
          </w:tblCellMar>
        </w:tblPrEx>
        <w:trPr>
          <w:trHeight w:val="390" w:hRule="atLeast"/>
        </w:trPr>
        <w:tc>
          <w:tcPr>
            <w:tcW w:w="18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848.07</w:t>
            </w:r>
          </w:p>
        </w:tc>
        <w:tc>
          <w:tcPr>
            <w:tcW w:w="2925"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b/>
                <w:bCs/>
                <w:color w:val="000000"/>
                <w:sz w:val="20"/>
                <w:szCs w:val="20"/>
              </w:rPr>
            </w:pPr>
            <w:r>
              <w:rPr>
                <w:rFonts w:cs="宋体"/>
                <w:b/>
                <w:bCs/>
                <w:color w:val="000000"/>
                <w:sz w:val="20"/>
                <w:szCs w:val="20"/>
              </w:rPr>
              <w:t>总计</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848.07</w:t>
            </w:r>
          </w:p>
        </w:tc>
        <w:tc>
          <w:tcPr>
            <w:tcW w:w="1106"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848.07</w:t>
            </w:r>
          </w:p>
        </w:tc>
        <w:tc>
          <w:tcPr>
            <w:tcW w:w="949"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c>
          <w:tcPr>
            <w:tcW w:w="915" w:type="dxa"/>
            <w:tcBorders>
              <w:top w:val="single" w:color="auto" w:sz="4" w:space="0"/>
              <w:left w:val="nil"/>
              <w:bottom w:val="single" w:color="auto" w:sz="4" w:space="0"/>
              <w:right w:val="single" w:color="auto" w:sz="4" w:space="0"/>
            </w:tcBorders>
            <w:shd w:val="clear" w:color="auto" w:fill="auto"/>
            <w:vAlign w:val="center"/>
          </w:tcPr>
          <w:p>
            <w:pPr>
              <w:jc w:val="right"/>
              <w:textAlignment w:val="center"/>
              <w:rPr>
                <w:rFonts w:hint="default"/>
                <w:color w:val="000000"/>
                <w:sz w:val="20"/>
                <w:szCs w:val="20"/>
              </w:rPr>
            </w:pPr>
            <w:r>
              <w:rPr>
                <w:rFonts w:cs="宋体"/>
                <w:color w:val="000000"/>
                <w:sz w:val="20"/>
                <w:szCs w:val="20"/>
              </w:rPr>
              <w:t>0.00</w:t>
            </w:r>
          </w:p>
        </w:tc>
      </w:tr>
    </w:tbl>
    <w:p>
      <w:pPr>
        <w:pStyle w:val="21"/>
        <w:rPr>
          <w:rFonts w:hint="default" w:cs="宋体"/>
        </w:rPr>
      </w:pPr>
      <w:r>
        <w:rPr>
          <w:rFonts w:cs="宋体"/>
        </w:rPr>
        <w:t>注：本表反映部门本年度一般公共预算财政拨款、政府性基金预算财政拨款和国有资本经营预算财政拨款的总收支和年末结转结余情况。</w:t>
      </w:r>
    </w:p>
    <w:p>
      <w:pPr>
        <w:pStyle w:val="4"/>
        <w:rPr>
          <w:rFonts w:hint="default" w:cs="宋体"/>
        </w:rPr>
      </w:pPr>
      <w:bookmarkStart w:id="64" w:name="_Toc682"/>
      <w:bookmarkEnd w:id="64"/>
      <w:bookmarkStart w:id="65" w:name="_Toc3204"/>
      <w:bookmarkStart w:id="66" w:name="_Toc23075"/>
      <w:bookmarkStart w:id="67" w:name="_Toc27139"/>
      <w:bookmarkStart w:id="68" w:name="_Toc4982"/>
      <w:bookmarkStart w:id="69" w:name="_Toc19626"/>
      <w:bookmarkStart w:id="70" w:name="_Toc15267"/>
      <w:r>
        <w:rPr>
          <w:rFonts w:cs="宋体"/>
        </w:rPr>
        <w:t>五、一般公共预算财政拨款支出决算表</w:t>
      </w:r>
      <w:bookmarkEnd w:id="65"/>
      <w:bookmarkEnd w:id="66"/>
      <w:bookmarkEnd w:id="67"/>
      <w:bookmarkEnd w:id="68"/>
      <w:bookmarkEnd w:id="69"/>
      <w:bookmarkEnd w:id="70"/>
    </w:p>
    <w:tbl>
      <w:tblPr>
        <w:tblStyle w:val="15"/>
        <w:tblW w:w="8076" w:type="dxa"/>
        <w:jc w:val="center"/>
        <w:tblLayout w:type="fixed"/>
        <w:tblCellMar>
          <w:top w:w="0" w:type="dxa"/>
          <w:left w:w="108" w:type="dxa"/>
          <w:bottom w:w="0" w:type="dxa"/>
          <w:right w:w="108" w:type="dxa"/>
        </w:tblCellMar>
      </w:tblPr>
      <w:tblGrid>
        <w:gridCol w:w="1396"/>
        <w:gridCol w:w="2541"/>
        <w:gridCol w:w="240"/>
        <w:gridCol w:w="897"/>
        <w:gridCol w:w="444"/>
        <w:gridCol w:w="1110"/>
        <w:gridCol w:w="1448"/>
      </w:tblGrid>
      <w:tr>
        <w:tblPrEx>
          <w:tblCellMar>
            <w:top w:w="0" w:type="dxa"/>
            <w:left w:w="108" w:type="dxa"/>
            <w:bottom w:w="0" w:type="dxa"/>
            <w:right w:w="108" w:type="dxa"/>
          </w:tblCellMar>
        </w:tblPrEx>
        <w:trPr>
          <w:trHeight w:val="556" w:hRule="atLeast"/>
          <w:jc w:val="center"/>
        </w:trPr>
        <w:tc>
          <w:tcPr>
            <w:tcW w:w="8076" w:type="dxa"/>
            <w:gridSpan w:val="7"/>
            <w:tcBorders>
              <w:top w:val="nil"/>
              <w:left w:val="nil"/>
              <w:bottom w:val="nil"/>
              <w:right w:val="nil"/>
            </w:tcBorders>
            <w:shd w:val="clear" w:color="auto" w:fill="auto"/>
            <w:noWrap/>
            <w:vAlign w:val="bottom"/>
          </w:tcPr>
          <w:p>
            <w:pPr>
              <w:spacing w:beforeAutospacing="1" w:afterAutospacing="1"/>
              <w:jc w:val="center"/>
              <w:rPr>
                <w:rFonts w:hint="default"/>
                <w:sz w:val="44"/>
                <w:szCs w:val="44"/>
              </w:rPr>
            </w:pPr>
            <w:r>
              <w:rPr>
                <w:rFonts w:cs="宋体"/>
                <w:color w:val="000000"/>
                <w:sz w:val="32"/>
                <w:szCs w:val="32"/>
              </w:rPr>
              <w:t>一般公共财政拨款支出决算表</w:t>
            </w:r>
          </w:p>
        </w:tc>
      </w:tr>
      <w:tr>
        <w:tblPrEx>
          <w:tblCellMar>
            <w:top w:w="0" w:type="dxa"/>
            <w:left w:w="108" w:type="dxa"/>
            <w:bottom w:w="0" w:type="dxa"/>
            <w:right w:w="108" w:type="dxa"/>
          </w:tblCellMar>
        </w:tblPrEx>
        <w:trPr>
          <w:trHeight w:val="90" w:hRule="atLeast"/>
          <w:jc w:val="center"/>
        </w:trPr>
        <w:tc>
          <w:tcPr>
            <w:tcW w:w="8076" w:type="dxa"/>
            <w:gridSpan w:val="7"/>
            <w:tcBorders>
              <w:top w:val="nil"/>
              <w:left w:val="nil"/>
              <w:bottom w:val="nil"/>
              <w:right w:val="nil"/>
            </w:tcBorders>
            <w:shd w:val="clear" w:color="auto" w:fill="auto"/>
            <w:noWrap/>
            <w:vAlign w:val="bottom"/>
          </w:tcPr>
          <w:p>
            <w:pPr>
              <w:spacing w:beforeAutospacing="1" w:afterAutospacing="1"/>
              <w:jc w:val="right"/>
              <w:rPr>
                <w:rFonts w:hint="default"/>
                <w:sz w:val="20"/>
                <w:szCs w:val="20"/>
              </w:rPr>
            </w:pPr>
            <w:r>
              <w:rPr>
                <w:rFonts w:cs="宋体"/>
                <w:sz w:val="20"/>
                <w:szCs w:val="20"/>
              </w:rPr>
              <w:t>公开05表</w:t>
            </w:r>
          </w:p>
        </w:tc>
      </w:tr>
      <w:tr>
        <w:tblPrEx>
          <w:tblCellMar>
            <w:top w:w="0" w:type="dxa"/>
            <w:left w:w="108" w:type="dxa"/>
            <w:bottom w:w="0" w:type="dxa"/>
            <w:right w:w="108" w:type="dxa"/>
          </w:tblCellMar>
        </w:tblPrEx>
        <w:trPr>
          <w:trHeight w:val="435" w:hRule="atLeast"/>
          <w:jc w:val="center"/>
        </w:trPr>
        <w:tc>
          <w:tcPr>
            <w:tcW w:w="3937" w:type="dxa"/>
            <w:gridSpan w:val="2"/>
            <w:tcBorders>
              <w:top w:val="nil"/>
              <w:left w:val="nil"/>
              <w:bottom w:val="nil"/>
              <w:right w:val="nil"/>
            </w:tcBorders>
            <w:shd w:val="clear" w:color="auto" w:fill="auto"/>
            <w:noWrap/>
            <w:vAlign w:val="center"/>
          </w:tcPr>
          <w:p>
            <w:pPr>
              <w:spacing w:beforeAutospacing="1" w:afterAutospacing="1"/>
              <w:rPr>
                <w:rFonts w:hint="default"/>
              </w:rPr>
            </w:pPr>
            <w:r>
              <w:rPr>
                <w:rFonts w:cs="宋体"/>
                <w:sz w:val="20"/>
                <w:szCs w:val="20"/>
              </w:rPr>
              <w:t>部门</w:t>
            </w:r>
            <w:r>
              <w:rPr>
                <w:rFonts w:cs="宋体"/>
              </w:rPr>
              <w:t>：</w:t>
            </w:r>
            <w:r>
              <w:rPr>
                <w:rFonts w:cs="宋体"/>
                <w:color w:val="000000"/>
                <w:sz w:val="20"/>
                <w:szCs w:val="20"/>
              </w:rPr>
              <w:t>福州市建筑垃圾工程渣土处置中心</w:t>
            </w:r>
          </w:p>
        </w:tc>
        <w:tc>
          <w:tcPr>
            <w:tcW w:w="240" w:type="dxa"/>
            <w:tcBorders>
              <w:top w:val="nil"/>
              <w:left w:val="nil"/>
              <w:bottom w:val="single" w:color="auto" w:sz="4" w:space="0"/>
              <w:right w:val="nil"/>
            </w:tcBorders>
            <w:shd w:val="clear" w:color="auto" w:fill="auto"/>
            <w:noWrap/>
            <w:vAlign w:val="center"/>
          </w:tcPr>
          <w:p>
            <w:pPr>
              <w:rPr>
                <w:rFonts w:hint="default"/>
              </w:rPr>
            </w:pPr>
            <w:r>
              <w:rPr>
                <w:rFonts w:cs="宋体"/>
              </w:rPr>
              <w:t> </w:t>
            </w:r>
          </w:p>
        </w:tc>
        <w:tc>
          <w:tcPr>
            <w:tcW w:w="1341" w:type="dxa"/>
            <w:gridSpan w:val="2"/>
            <w:tcBorders>
              <w:top w:val="nil"/>
              <w:left w:val="nil"/>
              <w:bottom w:val="nil"/>
              <w:right w:val="nil"/>
            </w:tcBorders>
            <w:shd w:val="clear" w:color="auto" w:fill="auto"/>
            <w:noWrap/>
            <w:vAlign w:val="center"/>
          </w:tcPr>
          <w:p>
            <w:pPr>
              <w:rPr>
                <w:rFonts w:hint="default"/>
              </w:rPr>
            </w:pPr>
            <w:r>
              <w:rPr>
                <w:rFonts w:cs="宋体"/>
              </w:rPr>
              <w:t> </w:t>
            </w:r>
          </w:p>
        </w:tc>
        <w:tc>
          <w:tcPr>
            <w:tcW w:w="2558" w:type="dxa"/>
            <w:gridSpan w:val="2"/>
            <w:tcBorders>
              <w:top w:val="nil"/>
              <w:left w:val="nil"/>
              <w:bottom w:val="nil"/>
              <w:right w:val="nil"/>
            </w:tcBorders>
            <w:shd w:val="clear" w:color="auto" w:fill="auto"/>
            <w:noWrap/>
            <w:vAlign w:val="center"/>
          </w:tcPr>
          <w:p>
            <w:pPr>
              <w:spacing w:beforeAutospacing="1" w:afterAutospacing="1"/>
              <w:jc w:val="right"/>
              <w:rPr>
                <w:rFonts w:hint="default"/>
                <w:sz w:val="20"/>
                <w:szCs w:val="20"/>
              </w:rPr>
            </w:pPr>
            <w:r>
              <w:rPr>
                <w:rFonts w:cs="宋体"/>
                <w:sz w:val="20"/>
                <w:szCs w:val="20"/>
              </w:rPr>
              <w:t>单位：万元</w:t>
            </w:r>
          </w:p>
        </w:tc>
      </w:tr>
      <w:tr>
        <w:tblPrEx>
          <w:tblCellMar>
            <w:top w:w="0" w:type="dxa"/>
            <w:left w:w="108" w:type="dxa"/>
            <w:bottom w:w="0" w:type="dxa"/>
            <w:right w:w="108" w:type="dxa"/>
          </w:tblCellMar>
        </w:tblPrEx>
        <w:trPr>
          <w:trHeight w:val="510" w:hRule="atLeast"/>
          <w:jc w:val="center"/>
        </w:trPr>
        <w:tc>
          <w:tcPr>
            <w:tcW w:w="417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rPr>
            </w:pPr>
            <w:r>
              <w:rPr>
                <w:rFonts w:cs="宋体"/>
              </w:rPr>
              <w:t>项   目</w:t>
            </w:r>
          </w:p>
        </w:tc>
        <w:tc>
          <w:tcPr>
            <w:tcW w:w="3899" w:type="dxa"/>
            <w:gridSpan w:val="4"/>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rPr>
            </w:pPr>
            <w:r>
              <w:rPr>
                <w:rFonts w:cs="宋体"/>
              </w:rPr>
              <w:t>本年支出</w:t>
            </w:r>
          </w:p>
        </w:tc>
      </w:tr>
      <w:tr>
        <w:tblPrEx>
          <w:tblCellMar>
            <w:top w:w="0" w:type="dxa"/>
            <w:left w:w="108" w:type="dxa"/>
            <w:bottom w:w="0" w:type="dxa"/>
            <w:right w:w="108" w:type="dxa"/>
          </w:tblCellMar>
        </w:tblPrEx>
        <w:trPr>
          <w:trHeight w:val="540" w:hRule="atLeast"/>
          <w:jc w:val="center"/>
        </w:trPr>
        <w:tc>
          <w:tcPr>
            <w:tcW w:w="1396" w:type="dxa"/>
            <w:tcBorders>
              <w:top w:val="nil"/>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功能分类科目编码</w:t>
            </w:r>
          </w:p>
        </w:tc>
        <w:tc>
          <w:tcPr>
            <w:tcW w:w="2781" w:type="dxa"/>
            <w:gridSpan w:val="2"/>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897"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小计</w:t>
            </w:r>
          </w:p>
        </w:tc>
        <w:tc>
          <w:tcPr>
            <w:tcW w:w="1554" w:type="dxa"/>
            <w:gridSpan w:val="2"/>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基本支出</w:t>
            </w:r>
          </w:p>
        </w:tc>
        <w:tc>
          <w:tcPr>
            <w:tcW w:w="1448"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项目支出</w:t>
            </w:r>
          </w:p>
        </w:tc>
      </w:tr>
      <w:tr>
        <w:tblPrEx>
          <w:tblCellMar>
            <w:top w:w="0" w:type="dxa"/>
            <w:left w:w="108" w:type="dxa"/>
            <w:bottom w:w="0" w:type="dxa"/>
            <w:right w:w="108" w:type="dxa"/>
          </w:tblCellMar>
        </w:tblPrEx>
        <w:trPr>
          <w:trHeight w:val="435" w:hRule="atLeast"/>
          <w:jc w:val="center"/>
        </w:trPr>
        <w:tc>
          <w:tcPr>
            <w:tcW w:w="41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合计</w:t>
            </w:r>
          </w:p>
        </w:tc>
        <w:tc>
          <w:tcPr>
            <w:tcW w:w="897"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750.15</w:t>
            </w:r>
          </w:p>
        </w:tc>
        <w:tc>
          <w:tcPr>
            <w:tcW w:w="1554" w:type="dxa"/>
            <w:gridSpan w:val="2"/>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199.84</w:t>
            </w:r>
          </w:p>
        </w:tc>
        <w:tc>
          <w:tcPr>
            <w:tcW w:w="1448" w:type="dxa"/>
            <w:tcBorders>
              <w:top w:val="nil"/>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550.31</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社会保障和就业支出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20805</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行政事业单位养老支出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28.42</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事业单位离退休</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9.00</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9.00</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2080505</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机关事业单位基本养老保险缴费支出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13.22</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13.22</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2080506</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机关事业单位职业年金缴费支出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6.20</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6.20</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701.97</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151.66</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550.31</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21205</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城乡社区环境卫生</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701.97</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151.66</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550.31</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2120501</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城乡社区环境卫生</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701.97</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151.66</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550.31</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住房保障支出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22102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b/>
                <w:bCs/>
                <w:color w:val="000000"/>
                <w:sz w:val="20"/>
                <w:szCs w:val="20"/>
              </w:rPr>
              <w:t>住房改革支出</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19.7</w:t>
            </w:r>
            <w:r>
              <w:rPr>
                <w:rFonts w:hint="default" w:cs="宋体"/>
                <w:b/>
                <w:bCs/>
                <w:color w:val="000000"/>
                <w:sz w:val="20"/>
                <w:szCs w:val="20"/>
              </w:rPr>
              <w:t>6</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b/>
                <w:bCs/>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2210201</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住房公积金</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13.04</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13.04</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2210202</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提租补贴</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3.99</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hint="default" w:cs="宋体"/>
                <w:color w:val="000000"/>
                <w:sz w:val="20"/>
                <w:szCs w:val="20"/>
              </w:rPr>
              <w:t>3.99</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r>
        <w:tblPrEx>
          <w:tblCellMar>
            <w:top w:w="0" w:type="dxa"/>
            <w:left w:w="108" w:type="dxa"/>
            <w:bottom w:w="0" w:type="dxa"/>
            <w:right w:w="108" w:type="dxa"/>
          </w:tblCellMar>
        </w:tblPrEx>
        <w:trPr>
          <w:trHeight w:val="405"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2210203</w:t>
            </w:r>
          </w:p>
        </w:tc>
        <w:tc>
          <w:tcPr>
            <w:tcW w:w="2781" w:type="dxa"/>
            <w:gridSpan w:val="2"/>
            <w:tcBorders>
              <w:top w:val="single" w:color="auto" w:sz="4" w:space="0"/>
              <w:left w:val="nil"/>
              <w:bottom w:val="single" w:color="auto" w:sz="4" w:space="0"/>
              <w:right w:val="single" w:color="auto" w:sz="4" w:space="0"/>
            </w:tcBorders>
            <w:shd w:val="clear" w:color="auto" w:fill="auto"/>
            <w:noWrap/>
            <w:vAlign w:val="center"/>
          </w:tcPr>
          <w:p>
            <w:pPr>
              <w:textAlignment w:val="center"/>
              <w:rPr>
                <w:rFonts w:hint="default"/>
                <w:color w:val="000000"/>
                <w:sz w:val="22"/>
                <w:szCs w:val="22"/>
              </w:rPr>
            </w:pPr>
            <w:r>
              <w:rPr>
                <w:rFonts w:cs="宋体"/>
                <w:color w:val="000000"/>
                <w:sz w:val="20"/>
                <w:szCs w:val="20"/>
              </w:rPr>
              <w:t xml:space="preserve">  购房补贴</w:t>
            </w:r>
          </w:p>
        </w:tc>
        <w:tc>
          <w:tcPr>
            <w:tcW w:w="897"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2.73</w:t>
            </w:r>
          </w:p>
        </w:tc>
        <w:tc>
          <w:tcPr>
            <w:tcW w:w="1554" w:type="dxa"/>
            <w:gridSpan w:val="2"/>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2.73</w:t>
            </w:r>
          </w:p>
        </w:tc>
        <w:tc>
          <w:tcPr>
            <w:tcW w:w="1448" w:type="dxa"/>
            <w:tcBorders>
              <w:top w:val="single" w:color="auto" w:sz="4" w:space="0"/>
              <w:left w:val="nil"/>
              <w:bottom w:val="single" w:color="auto" w:sz="4" w:space="0"/>
              <w:right w:val="single" w:color="auto" w:sz="4" w:space="0"/>
            </w:tcBorders>
            <w:shd w:val="clear" w:color="auto" w:fill="auto"/>
            <w:noWrap/>
            <w:vAlign w:val="center"/>
          </w:tcPr>
          <w:p>
            <w:pPr>
              <w:jc w:val="right"/>
              <w:textAlignment w:val="center"/>
              <w:rPr>
                <w:rFonts w:hint="default"/>
                <w:color w:val="000000"/>
                <w:sz w:val="22"/>
                <w:szCs w:val="22"/>
              </w:rPr>
            </w:pPr>
            <w:r>
              <w:rPr>
                <w:rFonts w:cs="宋体"/>
                <w:color w:val="000000"/>
                <w:sz w:val="20"/>
                <w:szCs w:val="20"/>
              </w:rPr>
              <w:t>0.00</w:t>
            </w:r>
          </w:p>
        </w:tc>
      </w:tr>
    </w:tbl>
    <w:p>
      <w:pPr>
        <w:pStyle w:val="21"/>
        <w:rPr>
          <w:rFonts w:hint="default" w:cs="宋体"/>
        </w:rPr>
      </w:pPr>
      <w:r>
        <w:rPr>
          <w:rFonts w:cs="宋体"/>
        </w:rPr>
        <w:t>注：本表反映部门本年度一般公共预算财政拨款支出情况。</w:t>
      </w:r>
    </w:p>
    <w:p>
      <w:pPr>
        <w:pStyle w:val="4"/>
        <w:outlineLvl w:val="9"/>
        <w:rPr>
          <w:rFonts w:cs="宋体"/>
        </w:rPr>
      </w:pPr>
      <w:bookmarkStart w:id="71" w:name="_Toc9118"/>
      <w:bookmarkEnd w:id="71"/>
    </w:p>
    <w:p>
      <w:pPr>
        <w:pStyle w:val="4"/>
        <w:outlineLvl w:val="9"/>
        <w:rPr>
          <w:rFonts w:cs="宋体"/>
        </w:rPr>
      </w:pPr>
    </w:p>
    <w:p>
      <w:pPr>
        <w:pStyle w:val="4"/>
        <w:outlineLvl w:val="9"/>
        <w:rPr>
          <w:rFonts w:cs="宋体"/>
        </w:rPr>
      </w:pPr>
    </w:p>
    <w:p>
      <w:pPr>
        <w:pStyle w:val="4"/>
        <w:outlineLvl w:val="9"/>
        <w:rPr>
          <w:rFonts w:cs="宋体"/>
        </w:rPr>
      </w:pPr>
    </w:p>
    <w:p>
      <w:pPr>
        <w:pStyle w:val="4"/>
        <w:rPr>
          <w:rFonts w:hint="default" w:cs="宋体"/>
        </w:rPr>
      </w:pPr>
      <w:bookmarkStart w:id="72" w:name="_Toc8417"/>
      <w:bookmarkStart w:id="73" w:name="_Toc8368"/>
      <w:bookmarkStart w:id="74" w:name="_Toc10091"/>
      <w:bookmarkStart w:id="75" w:name="_Toc5178"/>
      <w:bookmarkStart w:id="76" w:name="_Toc13788"/>
      <w:bookmarkStart w:id="77" w:name="_Toc28773"/>
      <w:r>
        <w:rPr>
          <w:rFonts w:cs="宋体"/>
        </w:rPr>
        <w:t>六、一般公共预算财政拨款基本支出决算表</w:t>
      </w:r>
      <w:bookmarkEnd w:id="72"/>
      <w:bookmarkEnd w:id="73"/>
      <w:bookmarkEnd w:id="74"/>
      <w:bookmarkEnd w:id="75"/>
      <w:bookmarkEnd w:id="76"/>
      <w:bookmarkEnd w:id="77"/>
      <w:r>
        <w:rPr>
          <w:rFonts w:cs="宋体"/>
        </w:rPr>
        <w:t xml:space="preserve"> </w:t>
      </w:r>
    </w:p>
    <w:tbl>
      <w:tblPr>
        <w:tblStyle w:val="15"/>
        <w:tblW w:w="9405" w:type="dxa"/>
        <w:tblInd w:w="-166" w:type="dxa"/>
        <w:tblLayout w:type="fixed"/>
        <w:tblCellMar>
          <w:top w:w="0" w:type="dxa"/>
          <w:left w:w="108" w:type="dxa"/>
          <w:bottom w:w="0" w:type="dxa"/>
          <w:right w:w="108" w:type="dxa"/>
        </w:tblCellMar>
      </w:tblPr>
      <w:tblGrid>
        <w:gridCol w:w="930"/>
        <w:gridCol w:w="1215"/>
        <w:gridCol w:w="856"/>
        <w:gridCol w:w="854"/>
        <w:gridCol w:w="1260"/>
        <w:gridCol w:w="721"/>
        <w:gridCol w:w="851"/>
        <w:gridCol w:w="1503"/>
        <w:gridCol w:w="795"/>
        <w:gridCol w:w="420"/>
      </w:tblGrid>
      <w:tr>
        <w:tblPrEx>
          <w:tblCellMar>
            <w:top w:w="0" w:type="dxa"/>
            <w:left w:w="108" w:type="dxa"/>
            <w:bottom w:w="0" w:type="dxa"/>
            <w:right w:w="108" w:type="dxa"/>
          </w:tblCellMar>
        </w:tblPrEx>
        <w:trPr>
          <w:gridAfter w:val="1"/>
          <w:wAfter w:w="420" w:type="dxa"/>
          <w:trHeight w:val="440" w:hRule="atLeast"/>
        </w:trPr>
        <w:tc>
          <w:tcPr>
            <w:tcW w:w="8985" w:type="dxa"/>
            <w:gridSpan w:val="9"/>
            <w:tcBorders>
              <w:top w:val="nil"/>
              <w:left w:val="nil"/>
              <w:bottom w:val="nil"/>
              <w:right w:val="nil"/>
            </w:tcBorders>
            <w:shd w:val="clear" w:color="auto" w:fill="auto"/>
            <w:noWrap/>
            <w:vAlign w:val="center"/>
          </w:tcPr>
          <w:p>
            <w:pPr>
              <w:spacing w:beforeAutospacing="1" w:afterAutospacing="1"/>
              <w:jc w:val="center"/>
              <w:rPr>
                <w:rFonts w:hint="default"/>
                <w:color w:val="000000"/>
                <w:sz w:val="44"/>
                <w:szCs w:val="44"/>
              </w:rPr>
            </w:pPr>
            <w:r>
              <w:rPr>
                <w:rFonts w:cs="宋体"/>
                <w:color w:val="000000"/>
                <w:sz w:val="32"/>
                <w:szCs w:val="32"/>
              </w:rPr>
              <w:t>一般公共预算财政拨款基本支出决算表</w:t>
            </w:r>
          </w:p>
        </w:tc>
      </w:tr>
      <w:tr>
        <w:tblPrEx>
          <w:tblCellMar>
            <w:top w:w="0" w:type="dxa"/>
            <w:left w:w="108" w:type="dxa"/>
            <w:bottom w:w="0" w:type="dxa"/>
            <w:right w:w="108" w:type="dxa"/>
          </w:tblCellMar>
        </w:tblPrEx>
        <w:trPr>
          <w:trHeight w:val="416" w:hRule="atLeast"/>
        </w:trPr>
        <w:tc>
          <w:tcPr>
            <w:tcW w:w="8985" w:type="dxa"/>
            <w:gridSpan w:val="9"/>
            <w:tcBorders>
              <w:top w:val="nil"/>
              <w:left w:val="nil"/>
              <w:bottom w:val="nil"/>
              <w:right w:val="nil"/>
            </w:tcBorders>
            <w:shd w:val="clear" w:color="auto" w:fill="auto"/>
            <w:noWrap/>
            <w:vAlign w:val="bottom"/>
          </w:tcPr>
          <w:p>
            <w:pPr>
              <w:spacing w:beforeAutospacing="1" w:afterAutospacing="1"/>
              <w:jc w:val="right"/>
              <w:rPr>
                <w:rFonts w:hint="default"/>
                <w:color w:val="000000"/>
              </w:rPr>
            </w:pPr>
            <w:r>
              <w:rPr>
                <w:rFonts w:cs="宋体"/>
                <w:color w:val="000000"/>
                <w:sz w:val="20"/>
                <w:szCs w:val="20"/>
              </w:rPr>
              <w:t>公开06表</w:t>
            </w:r>
          </w:p>
        </w:tc>
        <w:tc>
          <w:tcPr>
            <w:tcW w:w="420" w:type="dxa"/>
            <w:tcBorders>
              <w:top w:val="nil"/>
              <w:left w:val="nil"/>
              <w:bottom w:val="nil"/>
              <w:right w:val="nil"/>
            </w:tcBorders>
            <w:shd w:val="clear" w:color="auto" w:fill="auto"/>
            <w:noWrap/>
            <w:vAlign w:val="bottom"/>
          </w:tcPr>
          <w:p>
            <w:pPr>
              <w:spacing w:beforeAutospacing="1" w:afterAutospacing="1"/>
              <w:rPr>
                <w:rFonts w:hint="default"/>
                <w:color w:val="000000"/>
              </w:rPr>
            </w:pPr>
          </w:p>
        </w:tc>
      </w:tr>
      <w:tr>
        <w:tblPrEx>
          <w:tblCellMar>
            <w:top w:w="0" w:type="dxa"/>
            <w:left w:w="108" w:type="dxa"/>
            <w:bottom w:w="0" w:type="dxa"/>
            <w:right w:w="108" w:type="dxa"/>
          </w:tblCellMar>
        </w:tblPrEx>
        <w:trPr>
          <w:trHeight w:val="401" w:hRule="atLeast"/>
        </w:trPr>
        <w:tc>
          <w:tcPr>
            <w:tcW w:w="3855" w:type="dxa"/>
            <w:gridSpan w:val="4"/>
            <w:tcBorders>
              <w:top w:val="nil"/>
              <w:left w:val="nil"/>
              <w:bottom w:val="nil"/>
              <w:right w:val="nil"/>
            </w:tcBorders>
            <w:shd w:val="clear" w:color="auto" w:fill="auto"/>
            <w:noWrap/>
            <w:vAlign w:val="center"/>
          </w:tcPr>
          <w:p>
            <w:pPr>
              <w:spacing w:beforeAutospacing="1" w:afterAutospacing="1"/>
              <w:rPr>
                <w:rFonts w:hint="default"/>
                <w:color w:val="000000"/>
              </w:rPr>
            </w:pPr>
            <w:r>
              <w:rPr>
                <w:rFonts w:cs="宋体"/>
                <w:color w:val="000000"/>
                <w:sz w:val="20"/>
                <w:szCs w:val="20"/>
              </w:rPr>
              <w:t>部门：福州市建筑垃圾工程渣土处置中心</w:t>
            </w:r>
          </w:p>
        </w:tc>
        <w:tc>
          <w:tcPr>
            <w:tcW w:w="5550" w:type="dxa"/>
            <w:gridSpan w:val="6"/>
            <w:tcBorders>
              <w:top w:val="nil"/>
              <w:left w:val="nil"/>
              <w:bottom w:val="nil"/>
              <w:right w:val="nil"/>
            </w:tcBorders>
            <w:shd w:val="clear" w:color="auto" w:fill="auto"/>
            <w:noWrap/>
            <w:vAlign w:val="bottom"/>
          </w:tcPr>
          <w:p>
            <w:pPr>
              <w:spacing w:beforeAutospacing="1" w:afterAutospacing="1"/>
              <w:ind w:right="720"/>
              <w:jc w:val="left"/>
              <w:rPr>
                <w:rFonts w:hint="default"/>
                <w:color w:val="000000"/>
              </w:rPr>
            </w:pPr>
            <w:r>
              <w:rPr>
                <w:rFonts w:hint="eastAsia" w:cs="宋体"/>
                <w:color w:val="000000"/>
                <w:sz w:val="20"/>
                <w:szCs w:val="20"/>
                <w:lang w:val="en-US" w:eastAsia="zh-CN"/>
              </w:rPr>
              <w:t xml:space="preserve">                                    </w:t>
            </w:r>
            <w:r>
              <w:rPr>
                <w:rFonts w:cs="宋体"/>
                <w:color w:val="000000"/>
                <w:sz w:val="20"/>
                <w:szCs w:val="20"/>
              </w:rPr>
              <w:t>单位：万元</w:t>
            </w:r>
          </w:p>
        </w:tc>
      </w:tr>
      <w:tr>
        <w:tblPrEx>
          <w:tblCellMar>
            <w:top w:w="0" w:type="dxa"/>
            <w:left w:w="108" w:type="dxa"/>
            <w:bottom w:w="0" w:type="dxa"/>
            <w:right w:w="108" w:type="dxa"/>
          </w:tblCellMar>
        </w:tblPrEx>
        <w:trPr>
          <w:gridAfter w:val="1"/>
          <w:wAfter w:w="420" w:type="dxa"/>
          <w:trHeight w:val="350" w:hRule="atLeast"/>
        </w:trPr>
        <w:tc>
          <w:tcPr>
            <w:tcW w:w="300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人员经费</w:t>
            </w:r>
          </w:p>
        </w:tc>
        <w:tc>
          <w:tcPr>
            <w:tcW w:w="5984" w:type="dxa"/>
            <w:gridSpan w:val="6"/>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公用经费</w:t>
            </w:r>
          </w:p>
        </w:tc>
      </w:tr>
      <w:tr>
        <w:tblPrEx>
          <w:tblCellMar>
            <w:top w:w="0" w:type="dxa"/>
            <w:left w:w="108" w:type="dxa"/>
            <w:bottom w:w="0" w:type="dxa"/>
            <w:right w:w="108" w:type="dxa"/>
          </w:tblCellMar>
        </w:tblPrEx>
        <w:trPr>
          <w:gridAfter w:val="1"/>
          <w:wAfter w:w="420" w:type="dxa"/>
          <w:trHeight w:val="312" w:hRule="atLeast"/>
        </w:trPr>
        <w:tc>
          <w:tcPr>
            <w:tcW w:w="930" w:type="dxa"/>
            <w:vMerge w:val="restart"/>
            <w:tcBorders>
              <w:top w:val="nil"/>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经济分类科目</w:t>
            </w:r>
            <w:r>
              <w:rPr>
                <w:rFonts w:cs="宋体"/>
                <w:color w:val="000000"/>
                <w:sz w:val="22"/>
                <w:szCs w:val="22"/>
              </w:rPr>
              <w:br w:type="textWrapping"/>
            </w:r>
            <w:r>
              <w:rPr>
                <w:rFonts w:cs="宋体"/>
                <w:color w:val="000000"/>
                <w:sz w:val="22"/>
                <w:szCs w:val="22"/>
              </w:rPr>
              <w:t>编码</w:t>
            </w:r>
          </w:p>
        </w:tc>
        <w:tc>
          <w:tcPr>
            <w:tcW w:w="1215"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856"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c>
          <w:tcPr>
            <w:tcW w:w="854"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经济分类科目</w:t>
            </w:r>
            <w:r>
              <w:rPr>
                <w:rFonts w:cs="宋体"/>
                <w:color w:val="000000"/>
                <w:sz w:val="22"/>
                <w:szCs w:val="22"/>
              </w:rPr>
              <w:br w:type="textWrapping"/>
            </w:r>
            <w:r>
              <w:rPr>
                <w:rFonts w:cs="宋体"/>
                <w:color w:val="000000"/>
                <w:sz w:val="22"/>
                <w:szCs w:val="22"/>
              </w:rPr>
              <w:t>编码</w:t>
            </w:r>
          </w:p>
        </w:tc>
        <w:tc>
          <w:tcPr>
            <w:tcW w:w="1260"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721"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c>
          <w:tcPr>
            <w:tcW w:w="851"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经济分类科目</w:t>
            </w:r>
            <w:r>
              <w:rPr>
                <w:rFonts w:cs="宋体"/>
                <w:color w:val="000000"/>
                <w:sz w:val="22"/>
                <w:szCs w:val="22"/>
              </w:rPr>
              <w:br w:type="textWrapping"/>
            </w:r>
            <w:r>
              <w:rPr>
                <w:rFonts w:cs="宋体"/>
                <w:color w:val="000000"/>
                <w:sz w:val="22"/>
                <w:szCs w:val="22"/>
              </w:rPr>
              <w:t>编码</w:t>
            </w:r>
          </w:p>
        </w:tc>
        <w:tc>
          <w:tcPr>
            <w:tcW w:w="1503"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795" w:type="dxa"/>
            <w:vMerge w:val="restart"/>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金额</w:t>
            </w:r>
          </w:p>
        </w:tc>
      </w:tr>
      <w:tr>
        <w:tblPrEx>
          <w:tblCellMar>
            <w:top w:w="0" w:type="dxa"/>
            <w:left w:w="108" w:type="dxa"/>
            <w:bottom w:w="0" w:type="dxa"/>
            <w:right w:w="108" w:type="dxa"/>
          </w:tblCellMar>
        </w:tblPrEx>
        <w:trPr>
          <w:gridAfter w:val="1"/>
          <w:wAfter w:w="420" w:type="dxa"/>
          <w:trHeight w:val="312" w:hRule="atLeast"/>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1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6"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4"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60"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21"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1"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503"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9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gridAfter w:val="1"/>
          <w:wAfter w:w="420" w:type="dxa"/>
          <w:trHeight w:val="312" w:hRule="atLeast"/>
        </w:trPr>
        <w:tc>
          <w:tcPr>
            <w:tcW w:w="930"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1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6"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4"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260"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21"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851"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sz w:val="20"/>
                <w:szCs w:val="20"/>
              </w:rPr>
            </w:pPr>
          </w:p>
        </w:tc>
        <w:tc>
          <w:tcPr>
            <w:tcW w:w="1503"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c>
          <w:tcPr>
            <w:tcW w:w="795" w:type="dxa"/>
            <w:vMerge w:val="continue"/>
            <w:tcBorders>
              <w:top w:val="nil"/>
              <w:left w:val="nil"/>
              <w:bottom w:val="single" w:color="auto" w:sz="4" w:space="0"/>
              <w:right w:val="single" w:color="auto" w:sz="4" w:space="0"/>
            </w:tcBorders>
            <w:shd w:val="clear" w:color="auto" w:fill="auto"/>
            <w:noWrap/>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工资福利支出</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176.61</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商品和服务支出</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14.23</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307</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债务利息及费用支出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30101</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基本工资</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55.81</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30201</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办公费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3.00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30701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国内债务付息</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30102</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津贴补贴</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6.72</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30202</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印刷费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30702</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国外债务付息</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30103</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奖金</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27.89</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30203</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咨询费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资本性支出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30106</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伙食补助费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30204</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手续费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房屋建筑物购建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30107</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绩效工资</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46.18</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30205</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水费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31002</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办公设备购置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30108</w:t>
            </w:r>
          </w:p>
        </w:tc>
        <w:tc>
          <w:tcPr>
            <w:tcW w:w="1215"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机关事业单位基本养老保险缴费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13.22</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30206</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电费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31003</w:t>
            </w:r>
          </w:p>
        </w:tc>
        <w:tc>
          <w:tcPr>
            <w:tcW w:w="1503"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专用设备购置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30109</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职业年金缴费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6.20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30207</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邮电费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31005</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基础设施建设</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08"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30110</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职工基本医疗保险缴费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6.51</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30208</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取暖费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31006</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大型修缮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08"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30111</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公务员医疗补助缴费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30209</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物业管理费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31007</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信息网络及软件购置更新</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30112</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其他社会保障缴费</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1.05</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差旅费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31008</w:t>
            </w:r>
          </w:p>
        </w:tc>
        <w:tc>
          <w:tcPr>
            <w:tcW w:w="1503"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物资储备</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30113</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住房公积金</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13.04</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30212</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因公出国（境）费用</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31009</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土地补偿</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30114</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医疗费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30213</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维修（护）费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4.26</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31010</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安置补助</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30199</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其他工资福利支出</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30214</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租赁费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地上附着物和青苗补偿</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对个人和家庭的补助</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9.00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会议费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31012</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拆迁补偿</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30301</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离休费</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培训费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31013</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公务用车购置</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30302</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退休费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30217</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公务接待费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31019</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其他交通工具购置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30303</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退职（役）费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30218</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专用材料费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31021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文物和陈列品购置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484"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30304</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抚恤金</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30224</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被装购置费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31022</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无形资产购置</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30305</w:t>
            </w:r>
          </w:p>
        </w:tc>
        <w:tc>
          <w:tcPr>
            <w:tcW w:w="12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生活补助</w:t>
            </w:r>
          </w:p>
        </w:tc>
        <w:tc>
          <w:tcPr>
            <w:tcW w:w="8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30225</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专用燃料费</w:t>
            </w:r>
          </w:p>
        </w:tc>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31099</w:t>
            </w:r>
          </w:p>
        </w:tc>
        <w:tc>
          <w:tcPr>
            <w:tcW w:w="150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其他资本性支出</w:t>
            </w:r>
          </w:p>
        </w:tc>
        <w:tc>
          <w:tcPr>
            <w:tcW w:w="7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30306</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救济费</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劳务费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对企业补助</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30307</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医疗费补助</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30227</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委托业务费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31201</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资本金注入</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30308</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助学金</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30228</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工会经费</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2.11</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31203</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政府投资基金股权投资</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30309</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奖励金</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30229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福利费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31204</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费用补贴</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30310</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个人农业生产补贴</w:t>
            </w:r>
          </w:p>
        </w:tc>
        <w:tc>
          <w:tcPr>
            <w:tcW w:w="856"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30231</w:t>
            </w:r>
          </w:p>
        </w:tc>
        <w:tc>
          <w:tcPr>
            <w:tcW w:w="126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公务用车运行维护费</w:t>
            </w:r>
          </w:p>
        </w:tc>
        <w:tc>
          <w:tcPr>
            <w:tcW w:w="72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1.04</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31205</w:t>
            </w:r>
          </w:p>
        </w:tc>
        <w:tc>
          <w:tcPr>
            <w:tcW w:w="1503" w:type="dxa"/>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利息补贴</w:t>
            </w:r>
          </w:p>
        </w:tc>
        <w:tc>
          <w:tcPr>
            <w:tcW w:w="795"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91"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30311</w:t>
            </w:r>
          </w:p>
        </w:tc>
        <w:tc>
          <w:tcPr>
            <w:tcW w:w="1215"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代缴社会保险费</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30239</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其他交通费用</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31299</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其他对企业补助</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58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30399</w:t>
            </w: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其他对个人和家庭的补助</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9.00</w:t>
            </w: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30240</w:t>
            </w: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税金及附加费用</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w:t>
            </w:r>
          </w:p>
        </w:tc>
        <w:tc>
          <w:tcPr>
            <w:tcW w:w="1503"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其他支出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343"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30299</w:t>
            </w:r>
          </w:p>
        </w:tc>
        <w:tc>
          <w:tcPr>
            <w:tcW w:w="1260" w:type="dxa"/>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default"/>
                <w:sz w:val="20"/>
                <w:szCs w:val="20"/>
              </w:rPr>
            </w:pPr>
            <w:r>
              <w:rPr>
                <w:rFonts w:cs="宋体"/>
                <w:sz w:val="20"/>
                <w:szCs w:val="20"/>
              </w:rPr>
              <w:t>其他商品和服务支出</w:t>
            </w:r>
          </w:p>
        </w:tc>
        <w:tc>
          <w:tcPr>
            <w:tcW w:w="72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3.83</w:t>
            </w: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39906</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赠与</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jc w:val="center"/>
              <w:rPr>
                <w:rFonts w:hint="default"/>
                <w:sz w:val="20"/>
                <w:szCs w:val="20"/>
              </w:rPr>
            </w:pPr>
          </w:p>
        </w:tc>
        <w:tc>
          <w:tcPr>
            <w:tcW w:w="1260" w:type="dxa"/>
            <w:tcBorders>
              <w:top w:val="nil"/>
              <w:left w:val="nil"/>
              <w:bottom w:val="single" w:color="auto" w:sz="4" w:space="0"/>
              <w:right w:val="single" w:color="auto" w:sz="4" w:space="0"/>
            </w:tcBorders>
            <w:shd w:val="clear" w:color="auto" w:fill="auto"/>
            <w:noWrap/>
            <w:vAlign w:val="center"/>
          </w:tcPr>
          <w:p>
            <w:pPr>
              <w:jc w:val="center"/>
              <w:rPr>
                <w:rFonts w:hint="default"/>
                <w:sz w:val="20"/>
                <w:szCs w:val="20"/>
              </w:rPr>
            </w:pPr>
          </w:p>
        </w:tc>
        <w:tc>
          <w:tcPr>
            <w:tcW w:w="721"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39907</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国家赔偿费用支出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721"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39908</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对民间非营利组织和群众性自治组织补贴</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1215"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856"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4" w:type="dxa"/>
            <w:tcBorders>
              <w:top w:val="nil"/>
              <w:left w:val="nil"/>
              <w:bottom w:val="single" w:color="auto" w:sz="4" w:space="0"/>
              <w:right w:val="single" w:color="auto" w:sz="4" w:space="0"/>
            </w:tcBorders>
            <w:shd w:val="clear" w:color="auto" w:fill="auto"/>
            <w:noWrap/>
            <w:vAlign w:val="center"/>
          </w:tcPr>
          <w:p>
            <w:pPr>
              <w:jc w:val="center"/>
              <w:rPr>
                <w:rFonts w:hint="default"/>
                <w:sz w:val="20"/>
                <w:szCs w:val="20"/>
              </w:rPr>
            </w:pPr>
          </w:p>
        </w:tc>
        <w:tc>
          <w:tcPr>
            <w:tcW w:w="1260"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p>
        </w:tc>
        <w:tc>
          <w:tcPr>
            <w:tcW w:w="721" w:type="dxa"/>
            <w:tcBorders>
              <w:top w:val="nil"/>
              <w:left w:val="nil"/>
              <w:bottom w:val="single" w:color="auto" w:sz="4" w:space="0"/>
              <w:right w:val="single" w:color="auto" w:sz="4" w:space="0"/>
            </w:tcBorders>
            <w:shd w:val="clear" w:color="auto" w:fill="auto"/>
            <w:noWrap/>
            <w:vAlign w:val="center"/>
          </w:tcPr>
          <w:p>
            <w:pPr>
              <w:jc w:val="center"/>
              <w:rPr>
                <w:rFonts w:hint="default"/>
                <w:color w:val="000000"/>
                <w:sz w:val="20"/>
                <w:szCs w:val="20"/>
              </w:rPr>
            </w:pPr>
          </w:p>
        </w:tc>
        <w:tc>
          <w:tcPr>
            <w:tcW w:w="851"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39999</w:t>
            </w:r>
          </w:p>
        </w:tc>
        <w:tc>
          <w:tcPr>
            <w:tcW w:w="1503" w:type="dxa"/>
            <w:tcBorders>
              <w:top w:val="nil"/>
              <w:left w:val="nil"/>
              <w:bottom w:val="single" w:color="auto" w:sz="4" w:space="0"/>
              <w:right w:val="single" w:color="auto" w:sz="4" w:space="0"/>
            </w:tcBorders>
            <w:shd w:val="clear" w:color="auto" w:fill="auto"/>
            <w:noWrap/>
            <w:vAlign w:val="center"/>
          </w:tcPr>
          <w:p>
            <w:pPr>
              <w:spacing w:beforeAutospacing="1" w:afterAutospacing="1"/>
              <w:jc w:val="center"/>
              <w:rPr>
                <w:rFonts w:hint="default"/>
                <w:sz w:val="20"/>
                <w:szCs w:val="20"/>
              </w:rPr>
            </w:pPr>
            <w:r>
              <w:rPr>
                <w:rFonts w:cs="宋体"/>
                <w:sz w:val="20"/>
                <w:szCs w:val="20"/>
              </w:rPr>
              <w:t>其他支出</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gridAfter w:val="1"/>
          <w:wAfter w:w="420" w:type="dxa"/>
          <w:trHeight w:val="220" w:hRule="atLeast"/>
        </w:trPr>
        <w:tc>
          <w:tcPr>
            <w:tcW w:w="21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人员经费合计</w:t>
            </w:r>
          </w:p>
        </w:tc>
        <w:tc>
          <w:tcPr>
            <w:tcW w:w="856"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185.61</w:t>
            </w:r>
          </w:p>
        </w:tc>
        <w:tc>
          <w:tcPr>
            <w:tcW w:w="5189" w:type="dxa"/>
            <w:gridSpan w:val="5"/>
            <w:tcBorders>
              <w:top w:val="single" w:color="auto" w:sz="4" w:space="0"/>
              <w:left w:val="nil"/>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公用经费合计</w:t>
            </w:r>
          </w:p>
        </w:tc>
        <w:tc>
          <w:tcPr>
            <w:tcW w:w="795"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color w:val="000000"/>
                <w:sz w:val="20"/>
                <w:szCs w:val="20"/>
              </w:rPr>
            </w:pPr>
            <w:r>
              <w:rPr>
                <w:rFonts w:cs="宋体"/>
                <w:color w:val="000000"/>
                <w:sz w:val="20"/>
                <w:szCs w:val="20"/>
              </w:rPr>
              <w:t>14.23</w:t>
            </w:r>
          </w:p>
        </w:tc>
      </w:tr>
    </w:tbl>
    <w:p>
      <w:pPr>
        <w:pStyle w:val="21"/>
        <w:rPr>
          <w:rFonts w:hint="default" w:cs="宋体"/>
        </w:rPr>
      </w:pPr>
      <w:r>
        <w:rPr>
          <w:rFonts w:cs="宋体"/>
        </w:rPr>
        <w:t>注：本表反映部门本年度一般公共预算财政拨款基本支出明细情况。</w:t>
      </w:r>
    </w:p>
    <w:p>
      <w:pPr>
        <w:pStyle w:val="4"/>
        <w:rPr>
          <w:rFonts w:hint="default" w:cs="宋体"/>
        </w:rPr>
      </w:pPr>
      <w:bookmarkStart w:id="78" w:name="_Toc12443"/>
      <w:bookmarkEnd w:id="78"/>
      <w:bookmarkStart w:id="79" w:name="_Toc6097"/>
      <w:bookmarkStart w:id="80" w:name="_Toc12980"/>
      <w:bookmarkStart w:id="81" w:name="_Toc30267"/>
      <w:bookmarkStart w:id="82" w:name="_Toc1156"/>
      <w:bookmarkStart w:id="83" w:name="_Toc11385"/>
      <w:bookmarkStart w:id="84" w:name="_Toc21891"/>
      <w:r>
        <w:rPr>
          <w:rFonts w:cs="宋体"/>
        </w:rPr>
        <w:t>七、一般公共预算财政拨款“三公”经费支出决算表</w:t>
      </w:r>
      <w:bookmarkEnd w:id="79"/>
      <w:bookmarkEnd w:id="80"/>
      <w:bookmarkEnd w:id="81"/>
      <w:bookmarkEnd w:id="82"/>
      <w:bookmarkEnd w:id="83"/>
      <w:bookmarkEnd w:id="84"/>
      <w:r>
        <w:rPr>
          <w:rFonts w:cs="宋体"/>
        </w:rPr>
        <w:t xml:space="preserve"> </w:t>
      </w:r>
    </w:p>
    <w:tbl>
      <w:tblPr>
        <w:tblStyle w:val="15"/>
        <w:tblW w:w="8375" w:type="dxa"/>
        <w:jc w:val="center"/>
        <w:tblLayout w:type="autofit"/>
        <w:tblCellMar>
          <w:top w:w="0" w:type="dxa"/>
          <w:left w:w="108" w:type="dxa"/>
          <w:bottom w:w="0" w:type="dxa"/>
          <w:right w:w="108" w:type="dxa"/>
        </w:tblCellMar>
      </w:tblPr>
      <w:tblGrid>
        <w:gridCol w:w="4180"/>
        <w:gridCol w:w="780"/>
        <w:gridCol w:w="3415"/>
      </w:tblGrid>
      <w:tr>
        <w:tblPrEx>
          <w:tblCellMar>
            <w:top w:w="0" w:type="dxa"/>
            <w:left w:w="108" w:type="dxa"/>
            <w:bottom w:w="0" w:type="dxa"/>
            <w:right w:w="108" w:type="dxa"/>
          </w:tblCellMar>
        </w:tblPrEx>
        <w:trPr>
          <w:trHeight w:val="405" w:hRule="atLeast"/>
          <w:jc w:val="center"/>
        </w:trPr>
        <w:tc>
          <w:tcPr>
            <w:tcW w:w="8375" w:type="dxa"/>
            <w:gridSpan w:val="3"/>
            <w:tcBorders>
              <w:top w:val="nil"/>
              <w:left w:val="nil"/>
              <w:bottom w:val="nil"/>
              <w:right w:val="nil"/>
            </w:tcBorders>
            <w:shd w:val="clear" w:color="auto" w:fill="auto"/>
            <w:noWrap/>
            <w:vAlign w:val="center"/>
          </w:tcPr>
          <w:p>
            <w:pPr>
              <w:spacing w:beforeAutospacing="1" w:afterAutospacing="1"/>
              <w:jc w:val="center"/>
              <w:rPr>
                <w:rFonts w:hint="default"/>
              </w:rPr>
            </w:pPr>
            <w:r>
              <w:rPr>
                <w:rFonts w:cs="宋体"/>
                <w:color w:val="000000"/>
                <w:sz w:val="32"/>
                <w:szCs w:val="32"/>
              </w:rPr>
              <w:t>一般公共预算财政拨款“三公”经费支出决算表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nil"/>
              <w:right w:val="nil"/>
            </w:tcBorders>
            <w:shd w:val="clear" w:color="auto" w:fill="auto"/>
            <w:noWrap/>
            <w:vAlign w:val="center"/>
          </w:tcPr>
          <w:p>
            <w:pPr>
              <w:rPr>
                <w:rFonts w:hint="default"/>
              </w:rPr>
            </w:pPr>
            <w:r>
              <w:rPr>
                <w:rFonts w:cs="宋体"/>
              </w:rPr>
              <w:t> </w:t>
            </w:r>
          </w:p>
        </w:tc>
        <w:tc>
          <w:tcPr>
            <w:tcW w:w="780" w:type="dxa"/>
            <w:tcBorders>
              <w:top w:val="nil"/>
              <w:left w:val="nil"/>
              <w:bottom w:val="nil"/>
              <w:right w:val="nil"/>
            </w:tcBorders>
            <w:shd w:val="clear" w:color="auto" w:fill="auto"/>
            <w:noWrap/>
            <w:vAlign w:val="center"/>
          </w:tcPr>
          <w:p>
            <w:pPr>
              <w:rPr>
                <w:rFonts w:hint="default"/>
              </w:rPr>
            </w:pPr>
            <w:r>
              <w:rPr>
                <w:rFonts w:cs="宋体"/>
              </w:rPr>
              <w:t> </w:t>
            </w:r>
          </w:p>
        </w:tc>
        <w:tc>
          <w:tcPr>
            <w:tcW w:w="3415" w:type="dxa"/>
            <w:tcBorders>
              <w:top w:val="nil"/>
              <w:left w:val="nil"/>
              <w:bottom w:val="nil"/>
              <w:right w:val="nil"/>
            </w:tcBorders>
            <w:shd w:val="clear" w:color="auto" w:fill="FFFFFF"/>
            <w:noWrap/>
            <w:vAlign w:val="bottom"/>
          </w:tcPr>
          <w:p>
            <w:pPr>
              <w:spacing w:beforeAutospacing="1" w:afterAutospacing="1"/>
              <w:jc w:val="right"/>
              <w:rPr>
                <w:rFonts w:hint="default"/>
                <w:sz w:val="20"/>
                <w:szCs w:val="20"/>
              </w:rPr>
            </w:pPr>
            <w:r>
              <w:rPr>
                <w:rFonts w:cs="宋体"/>
                <w:sz w:val="20"/>
                <w:szCs w:val="20"/>
              </w:rPr>
              <w:t>公开07表</w:t>
            </w:r>
          </w:p>
        </w:tc>
      </w:tr>
      <w:tr>
        <w:tblPrEx>
          <w:tblCellMar>
            <w:top w:w="0" w:type="dxa"/>
            <w:left w:w="108" w:type="dxa"/>
            <w:bottom w:w="0" w:type="dxa"/>
            <w:right w:w="108" w:type="dxa"/>
          </w:tblCellMar>
        </w:tblPrEx>
        <w:trPr>
          <w:trHeight w:val="375" w:hRule="atLeast"/>
          <w:jc w:val="center"/>
        </w:trPr>
        <w:tc>
          <w:tcPr>
            <w:tcW w:w="4180" w:type="dxa"/>
            <w:tcBorders>
              <w:top w:val="nil"/>
              <w:left w:val="nil"/>
              <w:bottom w:val="single" w:color="auto" w:sz="4" w:space="0"/>
              <w:right w:val="nil"/>
            </w:tcBorders>
            <w:shd w:val="clear" w:color="auto" w:fill="auto"/>
            <w:noWrap/>
            <w:vAlign w:val="center"/>
          </w:tcPr>
          <w:p>
            <w:pPr>
              <w:spacing w:beforeAutospacing="1" w:afterAutospacing="1"/>
              <w:rPr>
                <w:rFonts w:hint="default"/>
                <w:color w:val="000000"/>
                <w:sz w:val="22"/>
                <w:szCs w:val="22"/>
              </w:rPr>
            </w:pPr>
            <w:r>
              <w:rPr>
                <w:rFonts w:cs="宋体"/>
                <w:sz w:val="20"/>
                <w:szCs w:val="20"/>
              </w:rPr>
              <w:t>部门</w:t>
            </w:r>
            <w:r>
              <w:rPr>
                <w:rFonts w:cs="宋体"/>
                <w:color w:val="000000"/>
                <w:sz w:val="20"/>
                <w:szCs w:val="20"/>
              </w:rPr>
              <w:t>：福州市建筑垃圾工程渣土处置中心</w:t>
            </w:r>
          </w:p>
        </w:tc>
        <w:tc>
          <w:tcPr>
            <w:tcW w:w="780" w:type="dxa"/>
            <w:tcBorders>
              <w:top w:val="nil"/>
              <w:left w:val="nil"/>
              <w:bottom w:val="single" w:color="auto" w:sz="4" w:space="0"/>
              <w:right w:val="nil"/>
            </w:tcBorders>
            <w:shd w:val="clear" w:color="auto" w:fill="auto"/>
            <w:noWrap/>
            <w:vAlign w:val="center"/>
          </w:tcPr>
          <w:p>
            <w:pPr>
              <w:rPr>
                <w:rFonts w:hint="default"/>
              </w:rPr>
            </w:pPr>
            <w:r>
              <w:rPr>
                <w:rFonts w:cs="宋体"/>
              </w:rPr>
              <w:t> </w:t>
            </w:r>
          </w:p>
        </w:tc>
        <w:tc>
          <w:tcPr>
            <w:tcW w:w="3415" w:type="dxa"/>
            <w:tcBorders>
              <w:top w:val="nil"/>
              <w:left w:val="nil"/>
              <w:bottom w:val="single" w:color="auto" w:sz="4" w:space="0"/>
              <w:right w:val="nil"/>
            </w:tcBorders>
            <w:shd w:val="clear" w:color="auto" w:fill="auto"/>
            <w:noWrap/>
            <w:vAlign w:val="center"/>
          </w:tcPr>
          <w:p>
            <w:pPr>
              <w:spacing w:beforeAutospacing="1" w:afterAutospacing="1"/>
              <w:jc w:val="right"/>
              <w:rPr>
                <w:rFonts w:hint="default"/>
                <w:color w:val="000000"/>
                <w:sz w:val="22"/>
                <w:szCs w:val="22"/>
              </w:rPr>
            </w:pPr>
            <w:r>
              <w:rPr>
                <w:rFonts w:cs="宋体"/>
                <w:sz w:val="20"/>
                <w:szCs w:val="20"/>
              </w:rPr>
              <w:t>单位：万元</w:t>
            </w:r>
          </w:p>
        </w:tc>
      </w:tr>
      <w:tr>
        <w:tblPrEx>
          <w:tblCellMar>
            <w:top w:w="0" w:type="dxa"/>
            <w:left w:w="108" w:type="dxa"/>
            <w:bottom w:w="0" w:type="dxa"/>
            <w:right w:w="108" w:type="dxa"/>
          </w:tblCellMar>
        </w:tblPrEx>
        <w:trPr>
          <w:trHeight w:val="43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rPr>
            </w:pPr>
            <w:r>
              <w:rPr>
                <w:rFonts w:cs="宋体"/>
                <w:color w:val="000000"/>
              </w:rPr>
              <w:t>项目</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rPr>
            </w:pPr>
            <w:r>
              <w:rPr>
                <w:rFonts w:cs="宋体"/>
                <w:color w:val="000000"/>
              </w:rPr>
              <w:t>行次</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rPr>
            </w:pPr>
            <w:r>
              <w:rPr>
                <w:rFonts w:cs="宋体"/>
                <w:color w:val="000000"/>
              </w:rPr>
              <w:t>决算数</w:t>
            </w:r>
          </w:p>
        </w:tc>
      </w:tr>
      <w:tr>
        <w:tblPrEx>
          <w:tblCellMar>
            <w:top w:w="0" w:type="dxa"/>
            <w:left w:w="108" w:type="dxa"/>
            <w:bottom w:w="0" w:type="dxa"/>
            <w:right w:w="108" w:type="dxa"/>
          </w:tblCellMar>
        </w:tblPrEx>
        <w:trPr>
          <w:trHeight w:val="34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合计</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1</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1.04　</w:t>
            </w:r>
          </w:p>
        </w:tc>
      </w:tr>
      <w:tr>
        <w:tblPrEx>
          <w:tblCellMar>
            <w:top w:w="0" w:type="dxa"/>
            <w:left w:w="108" w:type="dxa"/>
            <w:bottom w:w="0" w:type="dxa"/>
            <w:right w:w="108" w:type="dxa"/>
          </w:tblCellMar>
        </w:tblPrEx>
        <w:trPr>
          <w:trHeight w:val="41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1. 因公出国（境）费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2</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textAlignment w:val="center"/>
              <w:rPr>
                <w:rFonts w:hint="default"/>
                <w:color w:val="000000"/>
                <w:sz w:val="20"/>
                <w:szCs w:val="20"/>
              </w:rPr>
            </w:pPr>
            <w:r>
              <w:rPr>
                <w:rFonts w:cs="宋体"/>
                <w:color w:val="000000"/>
                <w:sz w:val="20"/>
                <w:szCs w:val="20"/>
              </w:rPr>
              <w:t>0.00</w:t>
            </w:r>
          </w:p>
        </w:tc>
      </w:tr>
      <w:tr>
        <w:tblPrEx>
          <w:tblCellMar>
            <w:top w:w="0" w:type="dxa"/>
            <w:left w:w="108" w:type="dxa"/>
            <w:bottom w:w="0" w:type="dxa"/>
            <w:right w:w="108" w:type="dxa"/>
          </w:tblCellMar>
        </w:tblPrEx>
        <w:trPr>
          <w:trHeight w:val="47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2. 公务用车购置及运行维护费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3</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1.04　</w:t>
            </w:r>
          </w:p>
        </w:tc>
      </w:tr>
      <w:tr>
        <w:tblPrEx>
          <w:tblCellMar>
            <w:top w:w="0" w:type="dxa"/>
            <w:left w:w="108" w:type="dxa"/>
            <w:bottom w:w="0" w:type="dxa"/>
            <w:right w:w="108" w:type="dxa"/>
          </w:tblCellMar>
        </w:tblPrEx>
        <w:trPr>
          <w:trHeight w:val="400"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其中：（1）公务用车购置费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4</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r>
      <w:tr>
        <w:tblPrEx>
          <w:tblCellMar>
            <w:top w:w="0" w:type="dxa"/>
            <w:left w:w="108" w:type="dxa"/>
            <w:bottom w:w="0" w:type="dxa"/>
            <w:right w:w="108" w:type="dxa"/>
          </w:tblCellMar>
        </w:tblPrEx>
        <w:trPr>
          <w:trHeight w:val="460"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 xml:space="preserve">          （2）公务用车运行维护费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5</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1.04　</w:t>
            </w:r>
          </w:p>
        </w:tc>
      </w:tr>
      <w:tr>
        <w:tblPrEx>
          <w:tblCellMar>
            <w:top w:w="0" w:type="dxa"/>
            <w:left w:w="108" w:type="dxa"/>
            <w:bottom w:w="0" w:type="dxa"/>
            <w:right w:w="108" w:type="dxa"/>
          </w:tblCellMar>
        </w:tblPrEx>
        <w:trPr>
          <w:trHeight w:val="465" w:hRule="atLeast"/>
          <w:jc w:val="center"/>
        </w:trPr>
        <w:tc>
          <w:tcPr>
            <w:tcW w:w="41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rPr>
                <w:rFonts w:hint="default"/>
                <w:color w:val="000000"/>
                <w:sz w:val="20"/>
                <w:szCs w:val="20"/>
              </w:rPr>
            </w:pPr>
            <w:r>
              <w:rPr>
                <w:rFonts w:cs="宋体"/>
                <w:color w:val="000000"/>
                <w:sz w:val="20"/>
                <w:szCs w:val="20"/>
              </w:rPr>
              <w:t>3. 公务接待费</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center"/>
              <w:rPr>
                <w:rFonts w:hint="default"/>
                <w:color w:val="000000"/>
                <w:sz w:val="20"/>
                <w:szCs w:val="20"/>
              </w:rPr>
            </w:pPr>
            <w:r>
              <w:rPr>
                <w:rFonts w:cs="宋体"/>
                <w:color w:val="000000"/>
                <w:sz w:val="20"/>
                <w:szCs w:val="20"/>
              </w:rPr>
              <w:t>6</w:t>
            </w:r>
          </w:p>
        </w:tc>
        <w:tc>
          <w:tcPr>
            <w:tcW w:w="341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Autospacing="1" w:afterAutospacing="1"/>
              <w:jc w:val="right"/>
              <w:rPr>
                <w:rFonts w:hint="default"/>
                <w:color w:val="000000"/>
                <w:sz w:val="20"/>
                <w:szCs w:val="20"/>
              </w:rPr>
            </w:pPr>
            <w:r>
              <w:rPr>
                <w:rFonts w:cs="宋体"/>
                <w:color w:val="000000"/>
                <w:sz w:val="20"/>
                <w:szCs w:val="20"/>
              </w:rPr>
              <w:t>0.00　</w:t>
            </w:r>
          </w:p>
        </w:tc>
      </w:tr>
      <w:tr>
        <w:tblPrEx>
          <w:tblCellMar>
            <w:top w:w="0" w:type="dxa"/>
            <w:left w:w="108" w:type="dxa"/>
            <w:bottom w:w="0" w:type="dxa"/>
            <w:right w:w="108" w:type="dxa"/>
          </w:tblCellMar>
        </w:tblPrEx>
        <w:trPr>
          <w:trHeight w:val="495" w:hRule="atLeast"/>
          <w:jc w:val="center"/>
        </w:trPr>
        <w:tc>
          <w:tcPr>
            <w:tcW w:w="8375" w:type="dxa"/>
            <w:gridSpan w:val="3"/>
            <w:tcBorders>
              <w:top w:val="single" w:color="auto" w:sz="4" w:space="0"/>
              <w:left w:val="nil"/>
              <w:bottom w:val="nil"/>
              <w:right w:val="nil"/>
            </w:tcBorders>
            <w:shd w:val="clear" w:color="auto" w:fill="auto"/>
            <w:vAlign w:val="center"/>
          </w:tcPr>
          <w:p>
            <w:pPr>
              <w:spacing w:beforeAutospacing="1" w:afterAutospacing="1"/>
              <w:rPr>
                <w:rFonts w:hint="default"/>
              </w:rPr>
            </w:pPr>
            <w:r>
              <w:rPr>
                <w:rFonts w:cs="宋体"/>
              </w:rPr>
              <w:t>注：本表反映部门本年度“三公”经费支出决算情况，包括当年一般公共预算财政拨款和以前年度结转资金安排的实际支出。</w:t>
            </w:r>
          </w:p>
        </w:tc>
      </w:tr>
    </w:tbl>
    <w:p>
      <w:pPr>
        <w:pStyle w:val="21"/>
        <w:rPr>
          <w:rFonts w:hint="default" w:cs="宋体"/>
        </w:rPr>
      </w:pPr>
      <w:r>
        <w:rPr>
          <w:rFonts w:cs="宋体"/>
        </w:rPr>
        <w:t xml:space="preserve"> </w:t>
      </w:r>
    </w:p>
    <w:p>
      <w:pPr>
        <w:pStyle w:val="4"/>
        <w:rPr>
          <w:rFonts w:hint="default" w:cs="宋体"/>
        </w:rPr>
      </w:pPr>
      <w:bookmarkStart w:id="85" w:name="_Toc10055"/>
      <w:bookmarkEnd w:id="85"/>
      <w:bookmarkStart w:id="86" w:name="_Toc31891"/>
      <w:bookmarkStart w:id="87" w:name="_Toc16264"/>
      <w:bookmarkStart w:id="88" w:name="_Toc21540"/>
      <w:bookmarkStart w:id="89" w:name="_Toc31110"/>
      <w:bookmarkStart w:id="90" w:name="_Toc21570"/>
      <w:bookmarkStart w:id="91" w:name="_Toc6530"/>
      <w:r>
        <w:rPr>
          <w:rFonts w:cs="宋体"/>
        </w:rPr>
        <w:t>八、政府性基金预算财政拨款收入支出决算表</w:t>
      </w:r>
      <w:bookmarkEnd w:id="86"/>
      <w:bookmarkEnd w:id="87"/>
      <w:bookmarkEnd w:id="88"/>
      <w:bookmarkEnd w:id="89"/>
      <w:bookmarkEnd w:id="90"/>
      <w:bookmarkEnd w:id="91"/>
      <w:r>
        <w:rPr>
          <w:rFonts w:cs="宋体"/>
        </w:rPr>
        <w:t xml:space="preserve"> </w:t>
      </w:r>
    </w:p>
    <w:tbl>
      <w:tblPr>
        <w:tblStyle w:val="15"/>
        <w:tblW w:w="8261" w:type="dxa"/>
        <w:tblInd w:w="93" w:type="dxa"/>
        <w:tblLayout w:type="fixed"/>
        <w:tblCellMar>
          <w:top w:w="0" w:type="dxa"/>
          <w:left w:w="108" w:type="dxa"/>
          <w:bottom w:w="0" w:type="dxa"/>
          <w:right w:w="108" w:type="dxa"/>
        </w:tblCellMar>
      </w:tblPr>
      <w:tblGrid>
        <w:gridCol w:w="436"/>
        <w:gridCol w:w="436"/>
        <w:gridCol w:w="436"/>
        <w:gridCol w:w="863"/>
        <w:gridCol w:w="1125"/>
        <w:gridCol w:w="840"/>
        <w:gridCol w:w="448"/>
        <w:gridCol w:w="317"/>
        <w:gridCol w:w="765"/>
        <w:gridCol w:w="810"/>
        <w:gridCol w:w="1785"/>
      </w:tblGrid>
      <w:tr>
        <w:tblPrEx>
          <w:tblCellMar>
            <w:top w:w="0" w:type="dxa"/>
            <w:left w:w="108" w:type="dxa"/>
            <w:bottom w:w="0" w:type="dxa"/>
            <w:right w:w="108" w:type="dxa"/>
          </w:tblCellMar>
        </w:tblPrEx>
        <w:trPr>
          <w:trHeight w:val="735" w:hRule="atLeast"/>
        </w:trPr>
        <w:tc>
          <w:tcPr>
            <w:tcW w:w="8261" w:type="dxa"/>
            <w:gridSpan w:val="11"/>
            <w:tcBorders>
              <w:top w:val="nil"/>
              <w:left w:val="nil"/>
              <w:bottom w:val="nil"/>
              <w:right w:val="nil"/>
            </w:tcBorders>
            <w:shd w:val="clear" w:color="auto" w:fill="auto"/>
            <w:noWrap/>
            <w:vAlign w:val="center"/>
          </w:tcPr>
          <w:p>
            <w:pPr>
              <w:spacing w:beforeAutospacing="1" w:afterAutospacing="1"/>
              <w:jc w:val="center"/>
              <w:rPr>
                <w:rFonts w:hint="default"/>
                <w:color w:val="000000"/>
                <w:sz w:val="44"/>
                <w:szCs w:val="44"/>
              </w:rPr>
            </w:pPr>
            <w:r>
              <w:rPr>
                <w:rFonts w:cs="宋体"/>
                <w:color w:val="000000"/>
                <w:sz w:val="32"/>
                <w:szCs w:val="32"/>
              </w:rPr>
              <w:t>政府性基金预算财政拨款收入支出决算表</w:t>
            </w:r>
          </w:p>
        </w:tc>
      </w:tr>
      <w:tr>
        <w:tblPrEx>
          <w:tblCellMar>
            <w:top w:w="0" w:type="dxa"/>
            <w:left w:w="108" w:type="dxa"/>
            <w:bottom w:w="0" w:type="dxa"/>
            <w:right w:w="108" w:type="dxa"/>
          </w:tblCellMar>
        </w:tblPrEx>
        <w:trPr>
          <w:trHeight w:val="300" w:hRule="atLeast"/>
        </w:trPr>
        <w:tc>
          <w:tcPr>
            <w:tcW w:w="8261" w:type="dxa"/>
            <w:gridSpan w:val="11"/>
            <w:tcBorders>
              <w:top w:val="nil"/>
              <w:left w:val="nil"/>
              <w:bottom w:val="nil"/>
              <w:right w:val="nil"/>
            </w:tcBorders>
            <w:shd w:val="clear" w:color="auto" w:fill="auto"/>
            <w:noWrap/>
            <w:vAlign w:val="bottom"/>
          </w:tcPr>
          <w:p>
            <w:pPr>
              <w:spacing w:beforeAutospacing="1" w:afterAutospacing="1"/>
              <w:jc w:val="right"/>
              <w:rPr>
                <w:rFonts w:hint="default"/>
                <w:color w:val="000000"/>
              </w:rPr>
            </w:pPr>
            <w:r>
              <w:rPr>
                <w:rFonts w:cs="宋体"/>
                <w:color w:val="000000"/>
                <w:sz w:val="20"/>
                <w:szCs w:val="20"/>
              </w:rPr>
              <w:t>公开08表</w:t>
            </w:r>
          </w:p>
        </w:tc>
      </w:tr>
      <w:tr>
        <w:tblPrEx>
          <w:tblCellMar>
            <w:top w:w="0" w:type="dxa"/>
            <w:left w:w="108" w:type="dxa"/>
            <w:bottom w:w="0" w:type="dxa"/>
            <w:right w:w="108" w:type="dxa"/>
          </w:tblCellMar>
        </w:tblPrEx>
        <w:trPr>
          <w:trHeight w:val="315" w:hRule="atLeast"/>
        </w:trPr>
        <w:tc>
          <w:tcPr>
            <w:tcW w:w="4584" w:type="dxa"/>
            <w:gridSpan w:val="7"/>
            <w:tcBorders>
              <w:top w:val="nil"/>
              <w:left w:val="nil"/>
              <w:bottom w:val="nil"/>
              <w:right w:val="nil"/>
            </w:tcBorders>
            <w:shd w:val="clear" w:color="auto" w:fill="auto"/>
            <w:noWrap/>
            <w:vAlign w:val="bottom"/>
          </w:tcPr>
          <w:p>
            <w:pPr>
              <w:spacing w:beforeAutospacing="1" w:afterAutospacing="1"/>
              <w:rPr>
                <w:rFonts w:hint="default"/>
                <w:color w:val="000000"/>
              </w:rPr>
            </w:pPr>
            <w:r>
              <w:rPr>
                <w:rFonts w:cs="宋体"/>
                <w:color w:val="000000"/>
                <w:sz w:val="20"/>
                <w:szCs w:val="20"/>
              </w:rPr>
              <w:t>部门：福州市建筑垃圾工程渣土处置中心</w:t>
            </w:r>
          </w:p>
        </w:tc>
        <w:tc>
          <w:tcPr>
            <w:tcW w:w="3677" w:type="dxa"/>
            <w:gridSpan w:val="4"/>
            <w:tcBorders>
              <w:top w:val="nil"/>
              <w:left w:val="nil"/>
              <w:bottom w:val="nil"/>
              <w:right w:val="nil"/>
            </w:tcBorders>
            <w:shd w:val="clear" w:color="auto" w:fill="auto"/>
            <w:noWrap/>
            <w:vAlign w:val="bottom"/>
          </w:tcPr>
          <w:p>
            <w:pPr>
              <w:spacing w:beforeAutospacing="1" w:afterAutospacing="1"/>
              <w:jc w:val="right"/>
              <w:rPr>
                <w:rFonts w:hint="default"/>
                <w:color w:val="000000"/>
                <w:sz w:val="20"/>
                <w:szCs w:val="20"/>
              </w:rPr>
            </w:pPr>
            <w:r>
              <w:rPr>
                <w:rFonts w:cs="宋体"/>
                <w:color w:val="000000"/>
                <w:sz w:val="20"/>
                <w:szCs w:val="20"/>
              </w:rPr>
              <w:t>单位：万元</w:t>
            </w:r>
          </w:p>
        </w:tc>
      </w:tr>
      <w:tr>
        <w:tblPrEx>
          <w:tblCellMar>
            <w:top w:w="0" w:type="dxa"/>
            <w:left w:w="108" w:type="dxa"/>
            <w:bottom w:w="0" w:type="dxa"/>
            <w:right w:w="108" w:type="dxa"/>
          </w:tblCellMar>
        </w:tblPrEx>
        <w:trPr>
          <w:trHeight w:val="308" w:hRule="atLeast"/>
        </w:trPr>
        <w:tc>
          <w:tcPr>
            <w:tcW w:w="217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w:t>
            </w:r>
          </w:p>
        </w:tc>
        <w:tc>
          <w:tcPr>
            <w:tcW w:w="112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年初结转和结余</w:t>
            </w:r>
          </w:p>
        </w:tc>
        <w:tc>
          <w:tcPr>
            <w:tcW w:w="840" w:type="dxa"/>
            <w:vMerge w:val="restart"/>
            <w:tcBorders>
              <w:top w:val="single" w:color="000000" w:sz="8" w:space="0"/>
              <w:left w:val="nil"/>
              <w:bottom w:val="single" w:color="000000" w:sz="4" w:space="0"/>
              <w:right w:val="single" w:color="000000" w:sz="8"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本年收入</w:t>
            </w:r>
          </w:p>
        </w:tc>
        <w:tc>
          <w:tcPr>
            <w:tcW w:w="2340" w:type="dxa"/>
            <w:gridSpan w:val="4"/>
            <w:tcBorders>
              <w:top w:val="single" w:color="000000" w:sz="8" w:space="0"/>
              <w:left w:val="single" w:color="000000" w:sz="8" w:space="0"/>
              <w:bottom w:val="single" w:color="000000" w:sz="8"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本年支出</w:t>
            </w:r>
          </w:p>
        </w:tc>
        <w:tc>
          <w:tcPr>
            <w:tcW w:w="1785" w:type="dxa"/>
            <w:vMerge w:val="restart"/>
            <w:tcBorders>
              <w:top w:val="single" w:color="000000" w:sz="8" w:space="0"/>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年末结转和结余</w:t>
            </w:r>
          </w:p>
        </w:tc>
      </w:tr>
      <w:tr>
        <w:tblPrEx>
          <w:tblCellMar>
            <w:top w:w="0" w:type="dxa"/>
            <w:left w:w="108" w:type="dxa"/>
            <w:bottom w:w="0" w:type="dxa"/>
            <w:right w:w="108" w:type="dxa"/>
          </w:tblCellMar>
        </w:tblPrEx>
        <w:trPr>
          <w:trHeight w:val="312" w:hRule="atLeast"/>
        </w:trPr>
        <w:tc>
          <w:tcPr>
            <w:tcW w:w="1308" w:type="dxa"/>
            <w:gridSpan w:val="3"/>
            <w:vMerge w:val="restart"/>
            <w:tcBorders>
              <w:top w:val="nil"/>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支出功能分类科目编码</w:t>
            </w:r>
          </w:p>
        </w:tc>
        <w:tc>
          <w:tcPr>
            <w:tcW w:w="863" w:type="dxa"/>
            <w:vMerge w:val="restart"/>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科目名称</w:t>
            </w:r>
          </w:p>
        </w:tc>
        <w:tc>
          <w:tcPr>
            <w:tcW w:w="112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40" w:type="dxa"/>
            <w:vMerge w:val="continue"/>
            <w:tcBorders>
              <w:top w:val="single" w:color="000000" w:sz="8" w:space="0"/>
              <w:left w:val="nil"/>
              <w:bottom w:val="single" w:color="000000" w:sz="4" w:space="0"/>
              <w:right w:val="single" w:color="000000" w:sz="8" w:space="0"/>
            </w:tcBorders>
            <w:shd w:val="clear" w:color="auto" w:fill="auto"/>
            <w:vAlign w:val="center"/>
          </w:tcPr>
          <w:p>
            <w:pPr>
              <w:rPr>
                <w:rFonts w:hint="default" w:ascii="Times New Roman" w:hAnsi="Times New Roman"/>
                <w:sz w:val="20"/>
                <w:szCs w:val="20"/>
              </w:rPr>
            </w:pPr>
          </w:p>
        </w:tc>
        <w:tc>
          <w:tcPr>
            <w:tcW w:w="765"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小计</w:t>
            </w:r>
          </w:p>
        </w:tc>
        <w:tc>
          <w:tcPr>
            <w:tcW w:w="7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基本支出</w:t>
            </w:r>
          </w:p>
        </w:tc>
        <w:tc>
          <w:tcPr>
            <w:tcW w:w="810"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项目支出</w:t>
            </w:r>
          </w:p>
        </w:tc>
        <w:tc>
          <w:tcPr>
            <w:tcW w:w="178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12" w:hRule="atLeast"/>
        </w:trPr>
        <w:tc>
          <w:tcPr>
            <w:tcW w:w="1308" w:type="dxa"/>
            <w:gridSpan w:val="3"/>
            <w:vMerge w:val="continue"/>
            <w:tcBorders>
              <w:top w:val="nil"/>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63"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112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40" w:type="dxa"/>
            <w:vMerge w:val="continue"/>
            <w:tcBorders>
              <w:top w:val="single" w:color="000000" w:sz="8" w:space="0"/>
              <w:left w:val="nil"/>
              <w:bottom w:val="single" w:color="000000" w:sz="4" w:space="0"/>
              <w:right w:val="single" w:color="000000" w:sz="8" w:space="0"/>
            </w:tcBorders>
            <w:shd w:val="clear" w:color="auto" w:fill="auto"/>
            <w:vAlign w:val="center"/>
          </w:tcPr>
          <w:p>
            <w:pPr>
              <w:rPr>
                <w:rFonts w:hint="default" w:ascii="Times New Roman" w:hAnsi="Times New Roman"/>
                <w:sz w:val="20"/>
                <w:szCs w:val="20"/>
              </w:rPr>
            </w:pPr>
          </w:p>
        </w:tc>
        <w:tc>
          <w:tcPr>
            <w:tcW w:w="765" w:type="dxa"/>
            <w:gridSpan w:val="2"/>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rPr>
                <w:rFonts w:hint="default" w:ascii="Times New Roman" w:hAnsi="Times New Roman"/>
                <w:sz w:val="20"/>
                <w:szCs w:val="20"/>
              </w:rPr>
            </w:pPr>
          </w:p>
        </w:tc>
        <w:tc>
          <w:tcPr>
            <w:tcW w:w="765" w:type="dxa"/>
            <w:vMerge w:val="continue"/>
            <w:tcBorders>
              <w:top w:val="single" w:color="000000" w:sz="8" w:space="0"/>
              <w:left w:val="nil"/>
              <w:bottom w:val="single" w:color="000000" w:sz="8" w:space="0"/>
              <w:right w:val="single" w:color="000000" w:sz="4" w:space="0"/>
            </w:tcBorders>
            <w:shd w:val="clear" w:color="auto" w:fill="auto"/>
            <w:vAlign w:val="center"/>
          </w:tcPr>
          <w:p>
            <w:pPr>
              <w:rPr>
                <w:rFonts w:hint="default" w:ascii="Times New Roman" w:hAnsi="Times New Roman"/>
                <w:sz w:val="20"/>
                <w:szCs w:val="20"/>
              </w:rPr>
            </w:pPr>
          </w:p>
        </w:tc>
        <w:tc>
          <w:tcPr>
            <w:tcW w:w="810" w:type="dxa"/>
            <w:vMerge w:val="continue"/>
            <w:tcBorders>
              <w:top w:val="single" w:color="000000" w:sz="8" w:space="0"/>
              <w:left w:val="nil"/>
              <w:bottom w:val="single" w:color="000000" w:sz="8" w:space="0"/>
              <w:right w:val="single" w:color="000000" w:sz="4" w:space="0"/>
            </w:tcBorders>
            <w:shd w:val="clear" w:color="auto" w:fill="auto"/>
            <w:vAlign w:val="center"/>
          </w:tcPr>
          <w:p>
            <w:pPr>
              <w:rPr>
                <w:rFonts w:hint="default" w:ascii="Times New Roman" w:hAnsi="Times New Roman"/>
                <w:sz w:val="20"/>
                <w:szCs w:val="20"/>
              </w:rPr>
            </w:pPr>
          </w:p>
        </w:tc>
        <w:tc>
          <w:tcPr>
            <w:tcW w:w="1785" w:type="dxa"/>
            <w:vMerge w:val="continue"/>
            <w:tcBorders>
              <w:top w:val="single" w:color="000000" w:sz="8" w:space="0"/>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r>
      <w:tr>
        <w:tblPrEx>
          <w:tblCellMar>
            <w:top w:w="0" w:type="dxa"/>
            <w:left w:w="108" w:type="dxa"/>
            <w:bottom w:w="0" w:type="dxa"/>
            <w:right w:w="108" w:type="dxa"/>
          </w:tblCellMar>
        </w:tblPrEx>
        <w:trPr>
          <w:trHeight w:val="308" w:hRule="atLeast"/>
        </w:trPr>
        <w:tc>
          <w:tcPr>
            <w:tcW w:w="436" w:type="dxa"/>
            <w:vMerge w:val="restart"/>
            <w:tcBorders>
              <w:top w:val="nil"/>
              <w:left w:val="single" w:color="000000" w:sz="8" w:space="0"/>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类</w:t>
            </w:r>
          </w:p>
        </w:tc>
        <w:tc>
          <w:tcPr>
            <w:tcW w:w="436" w:type="dxa"/>
            <w:vMerge w:val="restart"/>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款</w:t>
            </w:r>
          </w:p>
        </w:tc>
        <w:tc>
          <w:tcPr>
            <w:tcW w:w="436" w:type="dxa"/>
            <w:vMerge w:val="restart"/>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项</w:t>
            </w:r>
          </w:p>
        </w:tc>
        <w:tc>
          <w:tcPr>
            <w:tcW w:w="863" w:type="dxa"/>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栏次</w:t>
            </w:r>
          </w:p>
        </w:tc>
        <w:tc>
          <w:tcPr>
            <w:tcW w:w="112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1</w:t>
            </w:r>
          </w:p>
        </w:tc>
        <w:tc>
          <w:tcPr>
            <w:tcW w:w="84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4</w:t>
            </w:r>
          </w:p>
        </w:tc>
        <w:tc>
          <w:tcPr>
            <w:tcW w:w="765" w:type="dxa"/>
            <w:gridSpan w:val="2"/>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7</w:t>
            </w:r>
          </w:p>
        </w:tc>
        <w:tc>
          <w:tcPr>
            <w:tcW w:w="765" w:type="dxa"/>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8</w:t>
            </w:r>
          </w:p>
        </w:tc>
        <w:tc>
          <w:tcPr>
            <w:tcW w:w="810" w:type="dxa"/>
            <w:tcBorders>
              <w:top w:val="single" w:color="000000" w:sz="8" w:space="0"/>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11</w:t>
            </w:r>
          </w:p>
        </w:tc>
        <w:tc>
          <w:tcPr>
            <w:tcW w:w="178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12</w:t>
            </w:r>
          </w:p>
        </w:tc>
      </w:tr>
      <w:tr>
        <w:tblPrEx>
          <w:tblCellMar>
            <w:top w:w="0" w:type="dxa"/>
            <w:left w:w="108" w:type="dxa"/>
            <w:bottom w:w="0" w:type="dxa"/>
            <w:right w:w="108" w:type="dxa"/>
          </w:tblCellMar>
        </w:tblPrEx>
        <w:trPr>
          <w:trHeight w:val="30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43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436" w:type="dxa"/>
            <w:vMerge w:val="continue"/>
            <w:tcBorders>
              <w:top w:val="nil"/>
              <w:left w:val="nil"/>
              <w:bottom w:val="single" w:color="000000" w:sz="4" w:space="0"/>
              <w:right w:val="single" w:color="000000" w:sz="4" w:space="0"/>
            </w:tcBorders>
            <w:shd w:val="clear" w:color="auto" w:fill="auto"/>
            <w:vAlign w:val="center"/>
          </w:tcPr>
          <w:p>
            <w:pPr>
              <w:rPr>
                <w:rFonts w:hint="default" w:ascii="Times New Roman" w:hAnsi="Times New Roman"/>
                <w:sz w:val="20"/>
                <w:szCs w:val="20"/>
              </w:rPr>
            </w:pPr>
          </w:p>
        </w:tc>
        <w:tc>
          <w:tcPr>
            <w:tcW w:w="863" w:type="dxa"/>
            <w:tcBorders>
              <w:top w:val="nil"/>
              <w:left w:val="nil"/>
              <w:bottom w:val="single" w:color="000000" w:sz="4" w:space="0"/>
              <w:right w:val="single" w:color="000000" w:sz="4" w:space="0"/>
            </w:tcBorders>
            <w:shd w:val="clear" w:color="auto" w:fill="auto"/>
            <w:vAlign w:val="center"/>
          </w:tcPr>
          <w:p>
            <w:pPr>
              <w:spacing w:beforeAutospacing="1" w:afterAutospacing="1"/>
              <w:jc w:val="center"/>
              <w:rPr>
                <w:rFonts w:hint="default"/>
                <w:color w:val="000000"/>
                <w:sz w:val="22"/>
                <w:szCs w:val="22"/>
              </w:rPr>
            </w:pPr>
            <w:r>
              <w:rPr>
                <w:rFonts w:cs="宋体"/>
                <w:color w:val="000000"/>
                <w:sz w:val="22"/>
                <w:szCs w:val="22"/>
              </w:rPr>
              <w:t>合计</w:t>
            </w:r>
          </w:p>
        </w:tc>
        <w:tc>
          <w:tcPr>
            <w:tcW w:w="112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0</w:t>
            </w:r>
          </w:p>
        </w:tc>
        <w:tc>
          <w:tcPr>
            <w:tcW w:w="84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0</w:t>
            </w:r>
          </w:p>
        </w:tc>
        <w:tc>
          <w:tcPr>
            <w:tcW w:w="76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0</w:t>
            </w:r>
          </w:p>
        </w:tc>
        <w:tc>
          <w:tcPr>
            <w:tcW w:w="810"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0</w:t>
            </w:r>
          </w:p>
        </w:tc>
        <w:tc>
          <w:tcPr>
            <w:tcW w:w="1785" w:type="dxa"/>
            <w:tcBorders>
              <w:top w:val="nil"/>
              <w:left w:val="nil"/>
              <w:bottom w:val="single" w:color="000000" w:sz="4" w:space="0"/>
              <w:right w:val="single" w:color="000000" w:sz="4" w:space="0"/>
            </w:tcBorders>
            <w:shd w:val="clear" w:color="auto" w:fill="auto"/>
            <w:noWrap/>
            <w:vAlign w:val="center"/>
          </w:tcPr>
          <w:p>
            <w:pPr>
              <w:spacing w:beforeAutospacing="1" w:afterAutospacing="1"/>
              <w:jc w:val="center"/>
              <w:rPr>
                <w:rFonts w:hint="default"/>
                <w:color w:val="000000"/>
                <w:sz w:val="22"/>
                <w:szCs w:val="22"/>
              </w:rPr>
            </w:pPr>
            <w:r>
              <w:rPr>
                <w:rFonts w:cs="宋体"/>
                <w:color w:val="000000"/>
                <w:sz w:val="22"/>
                <w:szCs w:val="22"/>
              </w:rPr>
              <w:t>0</w:t>
            </w:r>
          </w:p>
        </w:tc>
      </w:tr>
    </w:tbl>
    <w:p>
      <w:pPr>
        <w:spacing w:beforeAutospacing="1" w:afterAutospacing="1"/>
        <w:rPr>
          <w:rFonts w:hint="default" w:cs="宋体"/>
          <w:color w:val="000000"/>
        </w:rPr>
      </w:pPr>
      <w:r>
        <w:rPr>
          <w:rFonts w:cs="宋体"/>
        </w:rPr>
        <w:t>注：</w:t>
      </w:r>
      <w:r>
        <w:rPr>
          <w:rFonts w:hint="eastAsia" w:cs="宋体"/>
          <w:color w:val="000000"/>
          <w:lang w:val="en-US" w:eastAsia="zh-CN"/>
        </w:rPr>
        <w:t>渣土处置中心</w:t>
      </w:r>
      <w:r>
        <w:rPr>
          <w:rFonts w:cs="宋体"/>
          <w:color w:val="000000"/>
        </w:rPr>
        <w:t>2020年度没有使用政府性基金预算拨款安排的收支。</w:t>
      </w:r>
    </w:p>
    <w:p>
      <w:pPr>
        <w:pStyle w:val="4"/>
        <w:rPr>
          <w:rFonts w:hint="default" w:cs="宋体"/>
        </w:rPr>
      </w:pPr>
      <w:bookmarkStart w:id="92" w:name="_Toc25288"/>
      <w:bookmarkEnd w:id="92"/>
      <w:bookmarkStart w:id="93" w:name="_Toc18557"/>
      <w:bookmarkStart w:id="94" w:name="_Toc13624"/>
      <w:bookmarkStart w:id="95" w:name="_Toc14463"/>
      <w:bookmarkStart w:id="96" w:name="_Toc20348"/>
      <w:bookmarkStart w:id="97" w:name="_Toc26007"/>
      <w:bookmarkStart w:id="98" w:name="_Toc17762"/>
      <w:r>
        <w:rPr>
          <w:rFonts w:cs="宋体"/>
        </w:rPr>
        <w:t>九、国有资本经营预算财政拨款支出决算表</w:t>
      </w:r>
      <w:bookmarkEnd w:id="93"/>
      <w:bookmarkEnd w:id="94"/>
      <w:bookmarkEnd w:id="95"/>
      <w:bookmarkEnd w:id="96"/>
      <w:bookmarkEnd w:id="97"/>
      <w:bookmarkEnd w:id="98"/>
    </w:p>
    <w:tbl>
      <w:tblPr>
        <w:tblStyle w:val="15"/>
        <w:tblW w:w="8304" w:type="dxa"/>
        <w:jc w:val="center"/>
        <w:tblLayout w:type="autofit"/>
        <w:tblCellMar>
          <w:top w:w="0" w:type="dxa"/>
          <w:left w:w="108" w:type="dxa"/>
          <w:bottom w:w="0" w:type="dxa"/>
          <w:right w:w="108" w:type="dxa"/>
        </w:tblCellMar>
      </w:tblPr>
      <w:tblGrid>
        <w:gridCol w:w="964"/>
        <w:gridCol w:w="1229"/>
        <w:gridCol w:w="1311"/>
        <w:gridCol w:w="736"/>
        <w:gridCol w:w="804"/>
        <w:gridCol w:w="1600"/>
        <w:gridCol w:w="1660"/>
      </w:tblGrid>
      <w:tr>
        <w:tblPrEx>
          <w:tblCellMar>
            <w:top w:w="0" w:type="dxa"/>
            <w:left w:w="108" w:type="dxa"/>
            <w:bottom w:w="0" w:type="dxa"/>
            <w:right w:w="108" w:type="dxa"/>
          </w:tblCellMar>
        </w:tblPrEx>
        <w:trPr>
          <w:trHeight w:val="720" w:hRule="atLeast"/>
          <w:jc w:val="center"/>
        </w:trPr>
        <w:tc>
          <w:tcPr>
            <w:tcW w:w="8304" w:type="dxa"/>
            <w:gridSpan w:val="7"/>
            <w:tcBorders>
              <w:top w:val="nil"/>
              <w:left w:val="nil"/>
              <w:bottom w:val="nil"/>
              <w:right w:val="nil"/>
            </w:tcBorders>
            <w:shd w:val="clear" w:color="auto" w:fill="FFFFFF"/>
            <w:vAlign w:val="center"/>
          </w:tcPr>
          <w:p>
            <w:pPr>
              <w:spacing w:beforeAutospacing="1" w:afterAutospacing="1"/>
              <w:jc w:val="center"/>
              <w:rPr>
                <w:rFonts w:hint="default"/>
                <w:sz w:val="32"/>
                <w:szCs w:val="32"/>
              </w:rPr>
            </w:pPr>
            <w:r>
              <w:rPr>
                <w:rFonts w:cs="宋体"/>
                <w:sz w:val="32"/>
                <w:szCs w:val="32"/>
              </w:rPr>
              <w:t>国有资本经营预算财政拨款支出决算表</w:t>
            </w:r>
          </w:p>
        </w:tc>
      </w:tr>
      <w:tr>
        <w:tblPrEx>
          <w:tblCellMar>
            <w:top w:w="0" w:type="dxa"/>
            <w:left w:w="108" w:type="dxa"/>
            <w:bottom w:w="0" w:type="dxa"/>
            <w:right w:w="108" w:type="dxa"/>
          </w:tblCellMar>
        </w:tblPrEx>
        <w:trPr>
          <w:trHeight w:val="285" w:hRule="atLeast"/>
          <w:jc w:val="center"/>
        </w:trPr>
        <w:tc>
          <w:tcPr>
            <w:tcW w:w="964" w:type="dxa"/>
            <w:tcBorders>
              <w:top w:val="nil"/>
              <w:left w:val="nil"/>
              <w:bottom w:val="nil"/>
              <w:right w:val="nil"/>
            </w:tcBorders>
            <w:shd w:val="clear" w:color="auto" w:fill="FFFFFF"/>
            <w:vAlign w:val="center"/>
          </w:tcPr>
          <w:p>
            <w:pPr>
              <w:spacing w:beforeAutospacing="1" w:afterAutospacing="1"/>
              <w:jc w:val="center"/>
              <w:rPr>
                <w:rFonts w:hint="default"/>
                <w:sz w:val="20"/>
                <w:szCs w:val="20"/>
              </w:rPr>
            </w:pPr>
            <w:r>
              <w:rPr>
                <w:rFonts w:cs="宋体"/>
                <w:sz w:val="20"/>
                <w:szCs w:val="20"/>
              </w:rPr>
              <w:t>　</w:t>
            </w:r>
          </w:p>
        </w:tc>
        <w:tc>
          <w:tcPr>
            <w:tcW w:w="1229" w:type="dxa"/>
            <w:tcBorders>
              <w:top w:val="nil"/>
              <w:left w:val="nil"/>
              <w:bottom w:val="nil"/>
              <w:right w:val="nil"/>
            </w:tcBorders>
            <w:shd w:val="clear" w:color="auto" w:fill="FFFFFF"/>
            <w:vAlign w:val="center"/>
          </w:tcPr>
          <w:p>
            <w:pPr>
              <w:spacing w:beforeAutospacing="1" w:afterAutospacing="1"/>
              <w:jc w:val="center"/>
              <w:rPr>
                <w:rFonts w:hint="default"/>
                <w:sz w:val="20"/>
                <w:szCs w:val="20"/>
              </w:rPr>
            </w:pPr>
            <w:r>
              <w:rPr>
                <w:rFonts w:cs="宋体"/>
                <w:sz w:val="20"/>
                <w:szCs w:val="20"/>
              </w:rPr>
              <w:t>　</w:t>
            </w:r>
          </w:p>
        </w:tc>
        <w:tc>
          <w:tcPr>
            <w:tcW w:w="1311" w:type="dxa"/>
            <w:tcBorders>
              <w:top w:val="nil"/>
              <w:left w:val="nil"/>
              <w:bottom w:val="nil"/>
              <w:right w:val="nil"/>
            </w:tcBorders>
            <w:shd w:val="clear" w:color="auto" w:fill="FFFFFF"/>
            <w:vAlign w:val="center"/>
          </w:tcPr>
          <w:p>
            <w:pPr>
              <w:spacing w:beforeAutospacing="1" w:afterAutospacing="1"/>
              <w:jc w:val="center"/>
              <w:rPr>
                <w:rFonts w:hint="default"/>
                <w:sz w:val="20"/>
                <w:szCs w:val="20"/>
              </w:rPr>
            </w:pPr>
            <w:r>
              <w:rPr>
                <w:rFonts w:cs="宋体"/>
                <w:sz w:val="20"/>
                <w:szCs w:val="20"/>
              </w:rPr>
              <w:t>　</w:t>
            </w:r>
          </w:p>
        </w:tc>
        <w:tc>
          <w:tcPr>
            <w:tcW w:w="1540" w:type="dxa"/>
            <w:gridSpan w:val="2"/>
            <w:tcBorders>
              <w:top w:val="nil"/>
              <w:left w:val="nil"/>
              <w:bottom w:val="nil"/>
              <w:right w:val="nil"/>
            </w:tcBorders>
            <w:shd w:val="clear" w:color="auto" w:fill="FFFFFF"/>
            <w:vAlign w:val="center"/>
          </w:tcPr>
          <w:p>
            <w:pPr>
              <w:spacing w:beforeAutospacing="1" w:afterAutospacing="1"/>
              <w:rPr>
                <w:rFonts w:hint="default"/>
                <w:sz w:val="20"/>
                <w:szCs w:val="20"/>
              </w:rPr>
            </w:pPr>
            <w:r>
              <w:rPr>
                <w:rFonts w:cs="宋体"/>
                <w:sz w:val="20"/>
                <w:szCs w:val="20"/>
              </w:rPr>
              <w:t>　</w:t>
            </w:r>
          </w:p>
        </w:tc>
        <w:tc>
          <w:tcPr>
            <w:tcW w:w="1600" w:type="dxa"/>
            <w:tcBorders>
              <w:top w:val="nil"/>
              <w:left w:val="nil"/>
              <w:bottom w:val="nil"/>
              <w:right w:val="nil"/>
            </w:tcBorders>
            <w:shd w:val="clear" w:color="auto" w:fill="FFFFFF"/>
            <w:vAlign w:val="center"/>
          </w:tcPr>
          <w:p>
            <w:pPr>
              <w:spacing w:beforeAutospacing="1" w:afterAutospacing="1"/>
              <w:rPr>
                <w:rFonts w:hint="default"/>
                <w:sz w:val="20"/>
                <w:szCs w:val="20"/>
              </w:rPr>
            </w:pPr>
            <w:r>
              <w:rPr>
                <w:rFonts w:cs="宋体"/>
                <w:sz w:val="20"/>
                <w:szCs w:val="20"/>
              </w:rPr>
              <w:t>　</w:t>
            </w:r>
          </w:p>
        </w:tc>
        <w:tc>
          <w:tcPr>
            <w:tcW w:w="1660" w:type="dxa"/>
            <w:tcBorders>
              <w:top w:val="nil"/>
              <w:left w:val="nil"/>
              <w:bottom w:val="nil"/>
              <w:right w:val="nil"/>
            </w:tcBorders>
            <w:shd w:val="clear" w:color="auto" w:fill="FFFFFF"/>
            <w:noWrap/>
            <w:vAlign w:val="center"/>
          </w:tcPr>
          <w:p>
            <w:pPr>
              <w:spacing w:beforeAutospacing="1" w:afterAutospacing="1"/>
              <w:jc w:val="right"/>
              <w:rPr>
                <w:rFonts w:hint="default"/>
                <w:color w:val="000000"/>
                <w:sz w:val="20"/>
                <w:szCs w:val="20"/>
              </w:rPr>
            </w:pPr>
            <w:r>
              <w:rPr>
                <w:rFonts w:cs="宋体"/>
                <w:color w:val="000000"/>
                <w:sz w:val="20"/>
                <w:szCs w:val="20"/>
              </w:rPr>
              <w:t>公开09表</w:t>
            </w:r>
          </w:p>
        </w:tc>
      </w:tr>
      <w:tr>
        <w:tblPrEx>
          <w:tblCellMar>
            <w:top w:w="0" w:type="dxa"/>
            <w:left w:w="108" w:type="dxa"/>
            <w:bottom w:w="0" w:type="dxa"/>
            <w:right w:w="108" w:type="dxa"/>
          </w:tblCellMar>
        </w:tblPrEx>
        <w:trPr>
          <w:trHeight w:val="285" w:hRule="atLeast"/>
          <w:jc w:val="center"/>
        </w:trPr>
        <w:tc>
          <w:tcPr>
            <w:tcW w:w="4240" w:type="dxa"/>
            <w:gridSpan w:val="4"/>
            <w:tcBorders>
              <w:top w:val="nil"/>
              <w:left w:val="nil"/>
              <w:bottom w:val="nil"/>
              <w:right w:val="nil"/>
            </w:tcBorders>
            <w:shd w:val="clear" w:color="auto" w:fill="FFFFFF"/>
            <w:noWrap/>
            <w:vAlign w:val="center"/>
          </w:tcPr>
          <w:p>
            <w:pPr>
              <w:spacing w:beforeAutospacing="1" w:afterAutospacing="1"/>
              <w:rPr>
                <w:rFonts w:hint="default"/>
                <w:color w:val="000000"/>
                <w:sz w:val="20"/>
                <w:szCs w:val="20"/>
              </w:rPr>
            </w:pPr>
            <w:r>
              <w:rPr>
                <w:rFonts w:cs="宋体"/>
                <w:color w:val="000000"/>
                <w:sz w:val="20"/>
                <w:szCs w:val="20"/>
              </w:rPr>
              <w:t>部门：福州市建筑垃圾工程渣土处置中心</w:t>
            </w:r>
          </w:p>
        </w:tc>
        <w:tc>
          <w:tcPr>
            <w:tcW w:w="4064" w:type="dxa"/>
            <w:gridSpan w:val="3"/>
            <w:tcBorders>
              <w:top w:val="nil"/>
              <w:left w:val="nil"/>
              <w:bottom w:val="nil"/>
              <w:right w:val="nil"/>
            </w:tcBorders>
            <w:shd w:val="clear" w:color="auto" w:fill="FFFFFF"/>
            <w:noWrap/>
            <w:vAlign w:val="center"/>
          </w:tcPr>
          <w:p>
            <w:pPr>
              <w:spacing w:beforeAutospacing="1" w:afterAutospacing="1"/>
              <w:jc w:val="right"/>
              <w:rPr>
                <w:rFonts w:hint="default" w:eastAsia="宋体" w:cs="宋体"/>
                <w:color w:val="000000"/>
                <w:sz w:val="20"/>
                <w:szCs w:val="20"/>
                <w:lang w:val="en-US" w:eastAsia="zh-CN"/>
              </w:rPr>
            </w:pPr>
            <w:r>
              <w:rPr>
                <w:rFonts w:hint="eastAsia" w:cs="宋体"/>
                <w:color w:val="000000"/>
                <w:sz w:val="20"/>
                <w:szCs w:val="20"/>
                <w:lang w:val="en-US" w:eastAsia="zh-CN"/>
              </w:rPr>
              <w:t>单位：万元</w:t>
            </w:r>
          </w:p>
        </w:tc>
      </w:tr>
      <w:tr>
        <w:tblPrEx>
          <w:tblCellMar>
            <w:top w:w="0" w:type="dxa"/>
            <w:left w:w="108" w:type="dxa"/>
            <w:bottom w:w="0" w:type="dxa"/>
            <w:right w:w="108" w:type="dxa"/>
          </w:tblCellMar>
        </w:tblPrEx>
        <w:trPr>
          <w:trHeight w:val="402" w:hRule="atLeast"/>
          <w:jc w:val="center"/>
        </w:trPr>
        <w:tc>
          <w:tcPr>
            <w:tcW w:w="350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 xml:space="preserve">项 </w:t>
            </w:r>
            <w:r>
              <w:rPr>
                <w:rFonts w:hint="eastAsia" w:ascii="宋体" w:hAnsi="宋体" w:eastAsia="宋体" w:cs="宋体"/>
                <w:color w:val="000000"/>
                <w:sz w:val="22"/>
                <w:szCs w:val="22"/>
              </w:rPr>
              <w:t xml:space="preserve">   </w:t>
            </w:r>
            <w:r>
              <w:rPr>
                <w:rFonts w:hint="eastAsia" w:ascii="宋体" w:hAnsi="宋体" w:eastAsia="宋体" w:cs="宋体"/>
                <w:sz w:val="22"/>
                <w:szCs w:val="22"/>
              </w:rPr>
              <w:t>目</w:t>
            </w:r>
          </w:p>
        </w:tc>
        <w:tc>
          <w:tcPr>
            <w:tcW w:w="4800" w:type="dxa"/>
            <w:gridSpan w:val="4"/>
            <w:tcBorders>
              <w:top w:val="single" w:color="auto" w:sz="8" w:space="0"/>
              <w:left w:val="nil"/>
              <w:bottom w:val="single" w:color="auto" w:sz="4" w:space="0"/>
              <w:right w:val="single" w:color="000000"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本年支出</w:t>
            </w:r>
          </w:p>
        </w:tc>
      </w:tr>
      <w:tr>
        <w:tblPrEx>
          <w:tblCellMar>
            <w:top w:w="0" w:type="dxa"/>
            <w:left w:w="108" w:type="dxa"/>
            <w:bottom w:w="0" w:type="dxa"/>
            <w:right w:w="108" w:type="dxa"/>
          </w:tblCellMar>
        </w:tblPrEx>
        <w:trPr>
          <w:trHeight w:val="402" w:hRule="atLeast"/>
          <w:jc w:val="center"/>
        </w:trPr>
        <w:tc>
          <w:tcPr>
            <w:tcW w:w="2193" w:type="dxa"/>
            <w:gridSpan w:val="2"/>
            <w:vMerge w:val="restart"/>
            <w:tcBorders>
              <w:top w:val="nil"/>
              <w:left w:val="single" w:color="auto" w:sz="8" w:space="0"/>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功能分类科目编码</w:t>
            </w:r>
          </w:p>
        </w:tc>
        <w:tc>
          <w:tcPr>
            <w:tcW w:w="1311"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科目名称</w:t>
            </w:r>
          </w:p>
        </w:tc>
        <w:tc>
          <w:tcPr>
            <w:tcW w:w="1540" w:type="dxa"/>
            <w:gridSpan w:val="2"/>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合计</w:t>
            </w:r>
          </w:p>
        </w:tc>
        <w:tc>
          <w:tcPr>
            <w:tcW w:w="160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 xml:space="preserve">基本支出  </w:t>
            </w:r>
          </w:p>
        </w:tc>
        <w:tc>
          <w:tcPr>
            <w:tcW w:w="1660" w:type="dxa"/>
            <w:vMerge w:val="restart"/>
            <w:tcBorders>
              <w:top w:val="nil"/>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项目支出</w:t>
            </w:r>
          </w:p>
        </w:tc>
      </w:tr>
      <w:tr>
        <w:tblPrEx>
          <w:tblCellMar>
            <w:top w:w="0" w:type="dxa"/>
            <w:left w:w="108" w:type="dxa"/>
            <w:bottom w:w="0" w:type="dxa"/>
            <w:right w:w="108" w:type="dxa"/>
          </w:tblCellMar>
        </w:tblPrEx>
        <w:trPr>
          <w:trHeight w:val="402" w:hRule="atLeast"/>
          <w:jc w:val="center"/>
        </w:trPr>
        <w:tc>
          <w:tcPr>
            <w:tcW w:w="2193" w:type="dxa"/>
            <w:gridSpan w:val="2"/>
            <w:vMerge w:val="continue"/>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311" w:type="dxa"/>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540" w:type="dxa"/>
            <w:gridSpan w:val="2"/>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600" w:type="dxa"/>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660" w:type="dxa"/>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r>
      <w:tr>
        <w:tblPrEx>
          <w:tblCellMar>
            <w:top w:w="0" w:type="dxa"/>
            <w:left w:w="108" w:type="dxa"/>
            <w:bottom w:w="0" w:type="dxa"/>
            <w:right w:w="108" w:type="dxa"/>
          </w:tblCellMar>
        </w:tblPrEx>
        <w:trPr>
          <w:trHeight w:val="402" w:hRule="atLeast"/>
          <w:jc w:val="center"/>
        </w:trPr>
        <w:tc>
          <w:tcPr>
            <w:tcW w:w="2193" w:type="dxa"/>
            <w:gridSpan w:val="2"/>
            <w:vMerge w:val="continue"/>
            <w:tcBorders>
              <w:top w:val="nil"/>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311" w:type="dxa"/>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540" w:type="dxa"/>
            <w:gridSpan w:val="2"/>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600" w:type="dxa"/>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c>
          <w:tcPr>
            <w:tcW w:w="1660" w:type="dxa"/>
            <w:vMerge w:val="continue"/>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2"/>
                <w:szCs w:val="22"/>
              </w:rPr>
            </w:pPr>
          </w:p>
        </w:tc>
      </w:tr>
      <w:tr>
        <w:tblPrEx>
          <w:tblCellMar>
            <w:top w:w="0" w:type="dxa"/>
            <w:left w:w="108" w:type="dxa"/>
            <w:bottom w:w="0" w:type="dxa"/>
            <w:right w:w="108" w:type="dxa"/>
          </w:tblCellMar>
        </w:tblPrEx>
        <w:trPr>
          <w:trHeight w:val="402" w:hRule="atLeast"/>
          <w:jc w:val="center"/>
        </w:trPr>
        <w:tc>
          <w:tcPr>
            <w:tcW w:w="35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栏次</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1</w:t>
            </w:r>
          </w:p>
        </w:tc>
        <w:tc>
          <w:tcPr>
            <w:tcW w:w="160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2</w:t>
            </w:r>
          </w:p>
        </w:tc>
        <w:tc>
          <w:tcPr>
            <w:tcW w:w="166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3</w:t>
            </w:r>
          </w:p>
        </w:tc>
      </w:tr>
      <w:tr>
        <w:tblPrEx>
          <w:tblCellMar>
            <w:top w:w="0" w:type="dxa"/>
            <w:left w:w="108" w:type="dxa"/>
            <w:bottom w:w="0" w:type="dxa"/>
            <w:right w:w="108" w:type="dxa"/>
          </w:tblCellMar>
        </w:tblPrEx>
        <w:trPr>
          <w:trHeight w:val="402" w:hRule="atLeast"/>
          <w:jc w:val="center"/>
        </w:trPr>
        <w:tc>
          <w:tcPr>
            <w:tcW w:w="35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合计</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0　</w:t>
            </w:r>
          </w:p>
        </w:tc>
        <w:tc>
          <w:tcPr>
            <w:tcW w:w="160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　0</w:t>
            </w:r>
          </w:p>
        </w:tc>
        <w:tc>
          <w:tcPr>
            <w:tcW w:w="1660" w:type="dxa"/>
            <w:tcBorders>
              <w:top w:val="single" w:color="auto" w:sz="4" w:space="0"/>
              <w:left w:val="nil"/>
              <w:bottom w:val="single" w:color="auto" w:sz="4" w:space="0"/>
              <w:right w:val="single" w:color="auto" w:sz="4" w:space="0"/>
            </w:tcBorders>
            <w:shd w:val="clear" w:color="auto" w:fill="auto"/>
            <w:vAlign w:val="center"/>
          </w:tcPr>
          <w:p>
            <w:pPr>
              <w:spacing w:beforeAutospacing="1" w:afterAutospacing="1"/>
              <w:jc w:val="center"/>
              <w:rPr>
                <w:rFonts w:hint="eastAsia" w:ascii="宋体" w:hAnsi="宋体" w:eastAsia="宋体" w:cs="宋体"/>
                <w:sz w:val="22"/>
                <w:szCs w:val="22"/>
              </w:rPr>
            </w:pPr>
            <w:r>
              <w:rPr>
                <w:rFonts w:hint="eastAsia" w:ascii="宋体" w:hAnsi="宋体" w:eastAsia="宋体" w:cs="宋体"/>
                <w:sz w:val="22"/>
                <w:szCs w:val="22"/>
              </w:rPr>
              <w:t>0　</w:t>
            </w:r>
          </w:p>
        </w:tc>
      </w:tr>
      <w:tr>
        <w:tblPrEx>
          <w:tblCellMar>
            <w:top w:w="0" w:type="dxa"/>
            <w:left w:w="108" w:type="dxa"/>
            <w:bottom w:w="0" w:type="dxa"/>
            <w:right w:w="108" w:type="dxa"/>
          </w:tblCellMar>
        </w:tblPrEx>
        <w:trPr>
          <w:trHeight w:val="720" w:hRule="atLeast"/>
          <w:jc w:val="center"/>
        </w:trPr>
        <w:tc>
          <w:tcPr>
            <w:tcW w:w="8304" w:type="dxa"/>
            <w:gridSpan w:val="7"/>
            <w:tcBorders>
              <w:top w:val="single" w:color="auto" w:sz="8" w:space="0"/>
              <w:left w:val="nil"/>
              <w:bottom w:val="nil"/>
              <w:right w:val="nil"/>
            </w:tcBorders>
            <w:shd w:val="clear" w:color="auto" w:fill="auto"/>
            <w:vAlign w:val="center"/>
          </w:tcPr>
          <w:p>
            <w:pPr>
              <w:spacing w:beforeAutospacing="1" w:afterAutospacing="1"/>
              <w:rPr>
                <w:rFonts w:hint="default"/>
              </w:rPr>
            </w:pPr>
            <w:r>
              <w:rPr>
                <w:rFonts w:cs="宋体"/>
              </w:rPr>
              <w:t>注：</w:t>
            </w:r>
            <w:r>
              <w:rPr>
                <w:rFonts w:hint="eastAsia" w:cs="宋体"/>
                <w:color w:val="000000"/>
                <w:lang w:val="en-US" w:eastAsia="zh-CN"/>
              </w:rPr>
              <w:t>渣土处置中心</w:t>
            </w:r>
            <w:r>
              <w:rPr>
                <w:rFonts w:cs="宋体"/>
                <w:color w:val="000000"/>
              </w:rPr>
              <w:t>2020年度没有使用国有资本经营预算财政拨款安排的支出。</w:t>
            </w:r>
          </w:p>
        </w:tc>
      </w:tr>
    </w:tbl>
    <w:p>
      <w:pPr>
        <w:spacing w:beforeAutospacing="1" w:afterAutospacing="1" w:line="600" w:lineRule="exact"/>
        <w:jc w:val="center"/>
        <w:rPr>
          <w:rFonts w:hint="default" w:cs="宋体"/>
          <w:sz w:val="36"/>
          <w:szCs w:val="36"/>
        </w:rPr>
      </w:pPr>
      <w:r>
        <w:rPr>
          <w:rFonts w:cs="宋体"/>
          <w:sz w:val="36"/>
          <w:szCs w:val="36"/>
        </w:rPr>
        <w:t xml:space="preserve"> </w:t>
      </w:r>
    </w:p>
    <w:p>
      <w:pPr>
        <w:spacing w:beforeAutospacing="1" w:afterAutospacing="1" w:line="600" w:lineRule="exact"/>
        <w:jc w:val="center"/>
        <w:rPr>
          <w:rFonts w:hint="default" w:cs="宋体"/>
          <w:sz w:val="36"/>
          <w:szCs w:val="36"/>
        </w:rPr>
      </w:pPr>
      <w:r>
        <w:rPr>
          <w:rFonts w:cs="宋体"/>
          <w:sz w:val="36"/>
          <w:szCs w:val="36"/>
        </w:rPr>
        <w:t xml:space="preserve"> </w:t>
      </w:r>
    </w:p>
    <w:p>
      <w:pPr>
        <w:spacing w:beforeAutospacing="1" w:afterAutospacing="1" w:line="600" w:lineRule="exact"/>
        <w:jc w:val="center"/>
        <w:rPr>
          <w:rFonts w:hint="default" w:cs="宋体"/>
          <w:sz w:val="36"/>
          <w:szCs w:val="36"/>
        </w:rPr>
      </w:pPr>
      <w:r>
        <w:rPr>
          <w:rFonts w:cs="宋体"/>
          <w:sz w:val="36"/>
          <w:szCs w:val="36"/>
        </w:rPr>
        <w:t xml:space="preserve"> </w:t>
      </w:r>
    </w:p>
    <w:p>
      <w:pPr>
        <w:pStyle w:val="3"/>
        <w:outlineLvl w:val="9"/>
        <w:rPr>
          <w:rFonts w:cs="宋体"/>
        </w:rPr>
      </w:pPr>
      <w:bookmarkStart w:id="99" w:name="_Toc10340"/>
      <w:bookmarkEnd w:id="99"/>
    </w:p>
    <w:p>
      <w:pPr>
        <w:pStyle w:val="3"/>
        <w:rPr>
          <w:rFonts w:hint="default" w:cs="宋体"/>
          <w:sz w:val="32"/>
          <w:szCs w:val="32"/>
        </w:rPr>
      </w:pPr>
      <w:bookmarkStart w:id="100" w:name="_Toc32719"/>
      <w:bookmarkStart w:id="101" w:name="_Toc2396"/>
      <w:bookmarkStart w:id="102" w:name="_Toc7882"/>
      <w:bookmarkStart w:id="103" w:name="_Toc11170"/>
      <w:bookmarkStart w:id="104" w:name="_Toc16257"/>
      <w:bookmarkStart w:id="105" w:name="_Toc15776"/>
      <w:r>
        <w:rPr>
          <w:rFonts w:cs="宋体"/>
        </w:rPr>
        <w:t>第三部分 2020年度部门决算情况说明</w:t>
      </w:r>
      <w:bookmarkEnd w:id="100"/>
      <w:bookmarkEnd w:id="101"/>
      <w:bookmarkEnd w:id="102"/>
      <w:bookmarkEnd w:id="103"/>
      <w:bookmarkEnd w:id="104"/>
      <w:bookmarkEnd w:id="105"/>
    </w:p>
    <w:p>
      <w:pPr>
        <w:pStyle w:val="4"/>
        <w:rPr>
          <w:rFonts w:hint="default" w:cs="宋体"/>
        </w:rPr>
      </w:pPr>
      <w:bookmarkStart w:id="106" w:name="_Toc11044"/>
      <w:bookmarkEnd w:id="106"/>
      <w:bookmarkStart w:id="107" w:name="_Toc3375"/>
      <w:bookmarkStart w:id="108" w:name="_Toc28157"/>
      <w:bookmarkStart w:id="109" w:name="_Toc26125"/>
      <w:bookmarkStart w:id="110" w:name="_Toc19122"/>
      <w:bookmarkStart w:id="111" w:name="_Toc8964"/>
      <w:bookmarkStart w:id="112" w:name="_Toc17199"/>
      <w:r>
        <w:rPr>
          <w:rFonts w:cs="宋体"/>
        </w:rPr>
        <w:t>一、收入支出决算总体情况说明</w:t>
      </w:r>
      <w:bookmarkEnd w:id="107"/>
      <w:bookmarkEnd w:id="108"/>
      <w:bookmarkEnd w:id="109"/>
      <w:bookmarkEnd w:id="110"/>
      <w:bookmarkEnd w:id="111"/>
      <w:bookmarkEnd w:id="112"/>
    </w:p>
    <w:p>
      <w:pPr>
        <w:bidi w:val="0"/>
        <w:ind w:firstLine="560" w:firstLineChars="200"/>
        <w:rPr>
          <w:rFonts w:hint="default"/>
          <w:sz w:val="28"/>
          <w:szCs w:val="28"/>
        </w:rPr>
      </w:pPr>
      <w:r>
        <w:rPr>
          <w:sz w:val="28"/>
          <w:szCs w:val="28"/>
        </w:rPr>
        <w:t>2020年</w:t>
      </w:r>
      <w:r>
        <w:rPr>
          <w:rFonts w:hint="eastAsia" w:cs="宋体"/>
          <w:color w:val="000000"/>
          <w:sz w:val="28"/>
          <w:szCs w:val="28"/>
          <w:lang w:val="en-US" w:eastAsia="zh-CN"/>
        </w:rPr>
        <w:t>渣土处置中心</w:t>
      </w:r>
      <w:r>
        <w:rPr>
          <w:sz w:val="28"/>
          <w:szCs w:val="28"/>
        </w:rPr>
        <w:t>年初结转和结余87.13万元，使用非财政拨款结余0.00万元，本年收入760.94万元，本年支出750.15万元，结余分配0.00万元，年末结转和结余97.92万元。</w:t>
      </w:r>
    </w:p>
    <w:p>
      <w:pPr>
        <w:bidi w:val="0"/>
        <w:ind w:firstLine="560" w:firstLineChars="200"/>
        <w:rPr>
          <w:rFonts w:hint="default"/>
          <w:sz w:val="28"/>
          <w:szCs w:val="28"/>
        </w:rPr>
      </w:pPr>
      <w:r>
        <w:rPr>
          <w:sz w:val="28"/>
          <w:szCs w:val="28"/>
        </w:rPr>
        <w:t>（一）2020年收入760.94万元，比上年决算数减少5</w:t>
      </w:r>
      <w:r>
        <w:rPr>
          <w:rFonts w:hint="default"/>
          <w:sz w:val="28"/>
          <w:szCs w:val="28"/>
        </w:rPr>
        <w:t>0.24</w:t>
      </w:r>
      <w:r>
        <w:rPr>
          <w:sz w:val="28"/>
          <w:szCs w:val="28"/>
        </w:rPr>
        <w:t>万元，减少6.</w:t>
      </w:r>
      <w:r>
        <w:rPr>
          <w:rFonts w:hint="default"/>
          <w:sz w:val="28"/>
          <w:szCs w:val="28"/>
        </w:rPr>
        <w:t>19</w:t>
      </w:r>
      <w:r>
        <w:rPr>
          <w:sz w:val="28"/>
          <w:szCs w:val="28"/>
        </w:rPr>
        <w:t>％，具体情况如下：</w:t>
      </w:r>
    </w:p>
    <w:p>
      <w:pPr>
        <w:bidi w:val="0"/>
        <w:ind w:firstLine="560" w:firstLineChars="200"/>
        <w:rPr>
          <w:rFonts w:hint="default"/>
          <w:sz w:val="28"/>
          <w:szCs w:val="28"/>
        </w:rPr>
      </w:pPr>
      <w:r>
        <w:rPr>
          <w:sz w:val="28"/>
          <w:szCs w:val="28"/>
        </w:rPr>
        <w:t>1. 一般公共预算财政拨款收入760.94万元。</w:t>
      </w:r>
    </w:p>
    <w:p>
      <w:pPr>
        <w:bidi w:val="0"/>
        <w:ind w:firstLine="560" w:firstLineChars="200"/>
        <w:rPr>
          <w:rFonts w:hint="default"/>
          <w:sz w:val="28"/>
          <w:szCs w:val="28"/>
        </w:rPr>
      </w:pPr>
      <w:r>
        <w:rPr>
          <w:sz w:val="28"/>
          <w:szCs w:val="28"/>
        </w:rPr>
        <w:t>2. 政府性基金预算财政拨款收入0.00万元。</w:t>
      </w:r>
    </w:p>
    <w:p>
      <w:pPr>
        <w:bidi w:val="0"/>
        <w:ind w:firstLine="560" w:firstLineChars="200"/>
        <w:rPr>
          <w:rFonts w:hint="default"/>
          <w:sz w:val="28"/>
          <w:szCs w:val="28"/>
        </w:rPr>
      </w:pPr>
      <w:r>
        <w:rPr>
          <w:sz w:val="28"/>
          <w:szCs w:val="28"/>
        </w:rPr>
        <w:t>3. 国有资本经营预算财政拨款收入0.00万元。</w:t>
      </w:r>
    </w:p>
    <w:p>
      <w:pPr>
        <w:bidi w:val="0"/>
        <w:ind w:firstLine="560" w:firstLineChars="200"/>
        <w:rPr>
          <w:rFonts w:hint="default"/>
          <w:sz w:val="28"/>
          <w:szCs w:val="28"/>
        </w:rPr>
      </w:pPr>
      <w:r>
        <w:rPr>
          <w:sz w:val="28"/>
          <w:szCs w:val="28"/>
        </w:rPr>
        <w:t>4. 上级补助收入0.00万元。</w:t>
      </w:r>
    </w:p>
    <w:p>
      <w:pPr>
        <w:bidi w:val="0"/>
        <w:ind w:firstLine="560" w:firstLineChars="200"/>
        <w:rPr>
          <w:rFonts w:hint="default"/>
          <w:sz w:val="28"/>
          <w:szCs w:val="28"/>
        </w:rPr>
      </w:pPr>
      <w:r>
        <w:rPr>
          <w:sz w:val="28"/>
          <w:szCs w:val="28"/>
        </w:rPr>
        <w:t>5. 事业收入0.00万元。</w:t>
      </w:r>
    </w:p>
    <w:p>
      <w:pPr>
        <w:bidi w:val="0"/>
        <w:ind w:firstLine="560" w:firstLineChars="200"/>
        <w:rPr>
          <w:rFonts w:hint="default"/>
          <w:sz w:val="28"/>
          <w:szCs w:val="28"/>
        </w:rPr>
      </w:pPr>
      <w:r>
        <w:rPr>
          <w:sz w:val="28"/>
          <w:szCs w:val="28"/>
        </w:rPr>
        <w:t>6. 经营收入0.00万元。</w:t>
      </w:r>
    </w:p>
    <w:p>
      <w:pPr>
        <w:bidi w:val="0"/>
        <w:ind w:firstLine="560" w:firstLineChars="200"/>
        <w:rPr>
          <w:rFonts w:hint="default"/>
          <w:sz w:val="28"/>
          <w:szCs w:val="28"/>
        </w:rPr>
      </w:pPr>
      <w:r>
        <w:rPr>
          <w:sz w:val="28"/>
          <w:szCs w:val="28"/>
        </w:rPr>
        <w:t>7.附属单位上缴收入0.00万元。</w:t>
      </w:r>
    </w:p>
    <w:p>
      <w:pPr>
        <w:bidi w:val="0"/>
        <w:ind w:firstLine="560" w:firstLineChars="200"/>
        <w:rPr>
          <w:rFonts w:hint="default"/>
          <w:sz w:val="28"/>
          <w:szCs w:val="28"/>
        </w:rPr>
      </w:pPr>
      <w:r>
        <w:rPr>
          <w:sz w:val="28"/>
          <w:szCs w:val="28"/>
        </w:rPr>
        <w:t>8.其他收入0.00万元。</w:t>
      </w:r>
    </w:p>
    <w:p>
      <w:pPr>
        <w:bidi w:val="0"/>
        <w:ind w:firstLine="560" w:firstLineChars="200"/>
        <w:rPr>
          <w:rFonts w:hint="default"/>
          <w:sz w:val="28"/>
          <w:szCs w:val="28"/>
        </w:rPr>
      </w:pPr>
      <w:r>
        <w:rPr>
          <w:sz w:val="28"/>
          <w:szCs w:val="28"/>
        </w:rPr>
        <w:t>（二）2020年支出750.15万元，比上年决算数增加5</w:t>
      </w:r>
      <w:r>
        <w:rPr>
          <w:rFonts w:hint="default"/>
          <w:sz w:val="28"/>
          <w:szCs w:val="28"/>
        </w:rPr>
        <w:t>.86</w:t>
      </w:r>
      <w:r>
        <w:rPr>
          <w:sz w:val="28"/>
          <w:szCs w:val="28"/>
        </w:rPr>
        <w:t>万元，增长0</w:t>
      </w:r>
      <w:r>
        <w:rPr>
          <w:rFonts w:hint="default"/>
          <w:sz w:val="28"/>
          <w:szCs w:val="28"/>
        </w:rPr>
        <w:t>.79</w:t>
      </w:r>
      <w:r>
        <w:rPr>
          <w:sz w:val="28"/>
          <w:szCs w:val="28"/>
        </w:rPr>
        <w:t>％，具体情况如下：</w:t>
      </w:r>
    </w:p>
    <w:p>
      <w:pPr>
        <w:bidi w:val="0"/>
        <w:ind w:firstLine="560" w:firstLineChars="200"/>
        <w:rPr>
          <w:rFonts w:hint="default"/>
          <w:sz w:val="28"/>
          <w:szCs w:val="28"/>
        </w:rPr>
      </w:pPr>
      <w:r>
        <w:rPr>
          <w:sz w:val="28"/>
          <w:szCs w:val="28"/>
        </w:rPr>
        <w:t>1.基本支出199.84万元。其中，人员支出185.61万元，公用支出14.23万元。</w:t>
      </w:r>
    </w:p>
    <w:p>
      <w:pPr>
        <w:bidi w:val="0"/>
        <w:ind w:firstLine="560" w:firstLineChars="200"/>
        <w:rPr>
          <w:rFonts w:hint="default"/>
          <w:sz w:val="28"/>
          <w:szCs w:val="28"/>
        </w:rPr>
      </w:pPr>
      <w:r>
        <w:rPr>
          <w:sz w:val="28"/>
          <w:szCs w:val="28"/>
        </w:rPr>
        <w:t>2.项目支出550.31万元。</w:t>
      </w:r>
    </w:p>
    <w:p>
      <w:pPr>
        <w:bidi w:val="0"/>
        <w:ind w:firstLine="560" w:firstLineChars="200"/>
        <w:rPr>
          <w:rFonts w:hint="default"/>
          <w:sz w:val="28"/>
          <w:szCs w:val="28"/>
        </w:rPr>
      </w:pPr>
      <w:r>
        <w:rPr>
          <w:sz w:val="28"/>
          <w:szCs w:val="28"/>
        </w:rPr>
        <w:t>3.上缴上级支出0.00万元。</w:t>
      </w:r>
    </w:p>
    <w:p>
      <w:pPr>
        <w:bidi w:val="0"/>
        <w:ind w:firstLine="560" w:firstLineChars="200"/>
        <w:rPr>
          <w:rFonts w:hint="default"/>
          <w:sz w:val="28"/>
          <w:szCs w:val="28"/>
        </w:rPr>
      </w:pPr>
      <w:r>
        <w:rPr>
          <w:sz w:val="28"/>
          <w:szCs w:val="28"/>
        </w:rPr>
        <w:t>4.经营支出0.00万元。</w:t>
      </w:r>
    </w:p>
    <w:p>
      <w:pPr>
        <w:bidi w:val="0"/>
        <w:ind w:firstLine="560" w:firstLineChars="200"/>
        <w:rPr>
          <w:rFonts w:hint="default"/>
          <w:sz w:val="28"/>
          <w:szCs w:val="28"/>
        </w:rPr>
      </w:pPr>
      <w:r>
        <w:rPr>
          <w:sz w:val="28"/>
          <w:szCs w:val="28"/>
        </w:rPr>
        <w:t>5.对附属单位补助支出0.00万元。</w:t>
      </w:r>
    </w:p>
    <w:p>
      <w:pPr>
        <w:pStyle w:val="4"/>
        <w:rPr>
          <w:rFonts w:hint="default" w:cs="宋体"/>
        </w:rPr>
      </w:pPr>
      <w:bookmarkStart w:id="113" w:name="_Toc13397"/>
      <w:bookmarkEnd w:id="113"/>
      <w:bookmarkStart w:id="114" w:name="_Toc11162"/>
      <w:bookmarkStart w:id="115" w:name="_Toc19423"/>
      <w:bookmarkStart w:id="116" w:name="_Toc3538"/>
      <w:bookmarkStart w:id="117" w:name="_Toc14514"/>
      <w:bookmarkStart w:id="118" w:name="_Toc3658"/>
      <w:bookmarkStart w:id="119" w:name="_Toc4429"/>
      <w:r>
        <w:rPr>
          <w:rFonts w:cs="宋体"/>
        </w:rPr>
        <w:t>二、一般公共预算拨款支出决算情况说明</w:t>
      </w:r>
      <w:bookmarkEnd w:id="114"/>
      <w:bookmarkEnd w:id="115"/>
      <w:bookmarkEnd w:id="116"/>
      <w:bookmarkEnd w:id="117"/>
      <w:bookmarkEnd w:id="118"/>
      <w:bookmarkEnd w:id="119"/>
    </w:p>
    <w:p>
      <w:pPr>
        <w:bidi w:val="0"/>
        <w:ind w:firstLine="560" w:firstLineChars="200"/>
        <w:rPr>
          <w:rFonts w:hint="default"/>
          <w:sz w:val="28"/>
          <w:szCs w:val="28"/>
        </w:rPr>
      </w:pPr>
      <w:r>
        <w:rPr>
          <w:sz w:val="28"/>
          <w:szCs w:val="28"/>
        </w:rPr>
        <w:t>2020年</w:t>
      </w:r>
      <w:r>
        <w:rPr>
          <w:rFonts w:hint="eastAsia" w:cs="宋体"/>
          <w:color w:val="000000"/>
          <w:sz w:val="28"/>
          <w:szCs w:val="28"/>
          <w:lang w:val="en-US" w:eastAsia="zh-CN"/>
        </w:rPr>
        <w:t>渣土处置中心</w:t>
      </w:r>
      <w:r>
        <w:rPr>
          <w:sz w:val="28"/>
          <w:szCs w:val="28"/>
        </w:rPr>
        <w:t>一般公共预算拨款支出750.15万元，比上年决算数增加5.86万元，增长0.79%，具体情况如下(按项级科目分类统计)：</w:t>
      </w:r>
    </w:p>
    <w:p>
      <w:pPr>
        <w:bidi w:val="0"/>
        <w:ind w:firstLine="560" w:firstLineChars="200"/>
        <w:rPr>
          <w:rFonts w:hint="default"/>
          <w:sz w:val="28"/>
          <w:szCs w:val="28"/>
        </w:rPr>
      </w:pPr>
      <w:r>
        <w:rPr>
          <w:sz w:val="28"/>
          <w:szCs w:val="28"/>
        </w:rPr>
        <w:t>（一）事业单位离退休9万元，较上年决算数增加4.92万元，增长120.58%。主要原因是增发了退休人员综治奖。</w:t>
      </w:r>
    </w:p>
    <w:p>
      <w:pPr>
        <w:bidi w:val="0"/>
        <w:ind w:firstLine="560" w:firstLineChars="200"/>
        <w:rPr>
          <w:rFonts w:hint="default"/>
          <w:sz w:val="28"/>
          <w:szCs w:val="28"/>
        </w:rPr>
      </w:pPr>
      <w:r>
        <w:rPr>
          <w:sz w:val="28"/>
          <w:szCs w:val="28"/>
        </w:rPr>
        <w:t>（二）机关事业单位基本养老保险缴费支出13.22万元，较上年决算数增加1.89万元，增长14.3%。主要原因是2020年人员增加及工资增长。</w:t>
      </w:r>
    </w:p>
    <w:p>
      <w:pPr>
        <w:bidi w:val="0"/>
        <w:ind w:firstLine="560" w:firstLineChars="200"/>
        <w:rPr>
          <w:rFonts w:hint="default"/>
          <w:sz w:val="28"/>
          <w:szCs w:val="28"/>
        </w:rPr>
      </w:pPr>
      <w:r>
        <w:rPr>
          <w:sz w:val="28"/>
          <w:szCs w:val="28"/>
        </w:rPr>
        <w:t>（三）机关事业单位职业年金缴费支出6.2万元，较上年决算数增加0.97万元，增长18.55%。主要原因是2020年人员增加及工资增长。</w:t>
      </w:r>
    </w:p>
    <w:p>
      <w:pPr>
        <w:bidi w:val="0"/>
        <w:ind w:firstLine="560" w:firstLineChars="200"/>
        <w:rPr>
          <w:sz w:val="28"/>
          <w:szCs w:val="28"/>
        </w:rPr>
      </w:pPr>
      <w:r>
        <w:rPr>
          <w:rFonts w:hint="eastAsia"/>
          <w:sz w:val="28"/>
          <w:szCs w:val="28"/>
        </w:rPr>
        <w:t>（四）城乡社区环境卫生701.97万元，较上年决算数下降4.97万元，下降0.7%。主要原因是节约经费</w:t>
      </w:r>
    </w:p>
    <w:p>
      <w:pPr>
        <w:bidi w:val="0"/>
        <w:ind w:firstLine="560" w:firstLineChars="200"/>
        <w:rPr>
          <w:sz w:val="28"/>
          <w:szCs w:val="28"/>
        </w:rPr>
      </w:pPr>
      <w:r>
        <w:rPr>
          <w:rFonts w:hint="eastAsia"/>
          <w:sz w:val="28"/>
          <w:szCs w:val="28"/>
        </w:rPr>
        <w:t>（五）住房公积金13.04万元，较上年决算数增加11.08万元，上升0.17%。主要原因是2020年人员增加及工资增长。</w:t>
      </w:r>
    </w:p>
    <w:p>
      <w:pPr>
        <w:bidi w:val="0"/>
        <w:ind w:firstLine="560" w:firstLineChars="200"/>
        <w:rPr>
          <w:sz w:val="28"/>
          <w:szCs w:val="28"/>
        </w:rPr>
      </w:pPr>
      <w:r>
        <w:rPr>
          <w:rFonts w:hint="eastAsia"/>
          <w:sz w:val="28"/>
          <w:szCs w:val="28"/>
        </w:rPr>
        <w:t>（六）提租补贴3.98万元，较上年决算数增加12.1万元，上升0.15%。主要原因是2020年人员增加及工资增长。</w:t>
      </w:r>
    </w:p>
    <w:p>
      <w:pPr>
        <w:bidi w:val="0"/>
        <w:rPr>
          <w:sz w:val="28"/>
          <w:szCs w:val="28"/>
        </w:rPr>
      </w:pPr>
      <w:r>
        <w:rPr>
          <w:rFonts w:hint="eastAsia"/>
          <w:sz w:val="28"/>
          <w:szCs w:val="28"/>
        </w:rPr>
        <w:t>。</w:t>
      </w:r>
    </w:p>
    <w:p>
      <w:pPr>
        <w:bidi w:val="0"/>
        <w:ind w:firstLine="560" w:firstLineChars="200"/>
        <w:rPr>
          <w:sz w:val="28"/>
          <w:szCs w:val="28"/>
        </w:rPr>
      </w:pPr>
      <w:r>
        <w:rPr>
          <w:rFonts w:hint="eastAsia"/>
          <w:sz w:val="28"/>
          <w:szCs w:val="28"/>
        </w:rPr>
        <w:t>（七）购房补贴2.73万元，较上年决算数增加0.47万元，增长20.8%。主要原因是2020年人员增加及工资增长。</w:t>
      </w:r>
    </w:p>
    <w:p>
      <w:pPr>
        <w:pStyle w:val="4"/>
        <w:rPr>
          <w:rFonts w:hint="default" w:cs="宋体"/>
        </w:rPr>
      </w:pPr>
      <w:bookmarkStart w:id="120" w:name="_Toc32740"/>
      <w:bookmarkEnd w:id="120"/>
      <w:bookmarkStart w:id="121" w:name="_Toc2371"/>
      <w:bookmarkStart w:id="122" w:name="_Toc17496"/>
      <w:bookmarkStart w:id="123" w:name="_Toc14708"/>
      <w:bookmarkStart w:id="124" w:name="_Toc27252"/>
      <w:bookmarkStart w:id="125" w:name="_Toc30744"/>
      <w:bookmarkStart w:id="126" w:name="_Toc1396"/>
      <w:r>
        <w:rPr>
          <w:rFonts w:cs="宋体"/>
        </w:rPr>
        <w:t>三、政府性基金财政拨款支出决算情况说明</w:t>
      </w:r>
      <w:bookmarkEnd w:id="121"/>
      <w:bookmarkEnd w:id="122"/>
      <w:bookmarkEnd w:id="123"/>
      <w:bookmarkEnd w:id="124"/>
      <w:bookmarkEnd w:id="125"/>
      <w:bookmarkEnd w:id="126"/>
    </w:p>
    <w:p>
      <w:pPr>
        <w:adjustRightInd w:val="0"/>
        <w:spacing w:beforeAutospacing="1" w:afterAutospacing="1" w:line="600" w:lineRule="exact"/>
        <w:ind w:firstLine="560" w:firstLineChars="200"/>
        <w:rPr>
          <w:rFonts w:hint="default" w:cs="宋体"/>
          <w:sz w:val="28"/>
          <w:szCs w:val="28"/>
        </w:rPr>
      </w:pPr>
      <w:r>
        <w:rPr>
          <w:rFonts w:cs="宋体"/>
          <w:sz w:val="28"/>
          <w:szCs w:val="28"/>
        </w:rPr>
        <w:t>渣土</w:t>
      </w:r>
      <w:r>
        <w:rPr>
          <w:rFonts w:hint="default" w:cs="宋体"/>
          <w:sz w:val="28"/>
          <w:szCs w:val="28"/>
        </w:rPr>
        <w:t>处置中心</w:t>
      </w:r>
      <w:r>
        <w:rPr>
          <w:rFonts w:cs="宋体"/>
          <w:sz w:val="28"/>
          <w:szCs w:val="28"/>
        </w:rPr>
        <w:t>2020年度没有使用政府性基金预算拨款安排的支出。</w:t>
      </w:r>
    </w:p>
    <w:p>
      <w:pPr>
        <w:pStyle w:val="4"/>
        <w:rPr>
          <w:rFonts w:hint="default" w:cs="宋体"/>
        </w:rPr>
      </w:pPr>
      <w:bookmarkStart w:id="127" w:name="_Toc21894"/>
      <w:bookmarkEnd w:id="127"/>
      <w:bookmarkStart w:id="128" w:name="_Toc31188"/>
      <w:bookmarkStart w:id="129" w:name="_Toc7363"/>
      <w:bookmarkStart w:id="130" w:name="_Toc28151"/>
      <w:bookmarkStart w:id="131" w:name="_Toc29764"/>
      <w:bookmarkStart w:id="132" w:name="_Toc3151"/>
      <w:bookmarkStart w:id="133" w:name="_Toc28998"/>
      <w:r>
        <w:rPr>
          <w:rFonts w:cs="宋体"/>
        </w:rPr>
        <w:t>四、国有资本经营预算财政拨款支出决算情况说明</w:t>
      </w:r>
      <w:bookmarkEnd w:id="128"/>
      <w:bookmarkEnd w:id="129"/>
      <w:bookmarkEnd w:id="130"/>
      <w:bookmarkEnd w:id="131"/>
      <w:bookmarkEnd w:id="132"/>
      <w:bookmarkEnd w:id="133"/>
    </w:p>
    <w:p>
      <w:pPr>
        <w:adjustRightInd w:val="0"/>
        <w:spacing w:beforeAutospacing="1" w:afterAutospacing="1" w:line="600" w:lineRule="exact"/>
        <w:ind w:firstLine="560" w:firstLineChars="200"/>
        <w:rPr>
          <w:rFonts w:hint="default" w:cs="宋体"/>
          <w:sz w:val="28"/>
          <w:szCs w:val="28"/>
        </w:rPr>
      </w:pPr>
      <w:r>
        <w:rPr>
          <w:rFonts w:cs="宋体"/>
          <w:sz w:val="28"/>
          <w:szCs w:val="28"/>
        </w:rPr>
        <w:t>渣土</w:t>
      </w:r>
      <w:r>
        <w:rPr>
          <w:rFonts w:hint="default" w:cs="宋体"/>
          <w:sz w:val="28"/>
          <w:szCs w:val="28"/>
        </w:rPr>
        <w:t>处置中心</w:t>
      </w:r>
      <w:r>
        <w:rPr>
          <w:rFonts w:cs="宋体"/>
          <w:sz w:val="28"/>
          <w:szCs w:val="28"/>
        </w:rPr>
        <w:t>2020年度没有使用国有资本经营预算财政拨款安排的支出。</w:t>
      </w:r>
    </w:p>
    <w:p>
      <w:pPr>
        <w:pStyle w:val="4"/>
        <w:rPr>
          <w:rFonts w:hint="default" w:cs="宋体"/>
        </w:rPr>
      </w:pPr>
      <w:bookmarkStart w:id="134" w:name="_Toc8860"/>
      <w:bookmarkEnd w:id="134"/>
      <w:bookmarkStart w:id="135" w:name="_Toc11946"/>
      <w:bookmarkStart w:id="136" w:name="_Toc10502"/>
      <w:bookmarkStart w:id="137" w:name="_Toc5903"/>
      <w:bookmarkStart w:id="138" w:name="_Toc30618"/>
      <w:bookmarkStart w:id="139" w:name="_Toc32284"/>
      <w:bookmarkStart w:id="140" w:name="_Toc633"/>
      <w:r>
        <w:rPr>
          <w:rFonts w:cs="宋体"/>
        </w:rPr>
        <w:t>五、一般公共预算财政拨款基本支出决算情况说明</w:t>
      </w:r>
      <w:bookmarkEnd w:id="135"/>
      <w:bookmarkEnd w:id="136"/>
      <w:bookmarkEnd w:id="137"/>
      <w:bookmarkEnd w:id="138"/>
      <w:bookmarkEnd w:id="139"/>
      <w:bookmarkEnd w:id="140"/>
    </w:p>
    <w:p>
      <w:pPr>
        <w:adjustRightInd w:val="0"/>
        <w:spacing w:beforeAutospacing="1" w:afterAutospacing="1" w:line="600" w:lineRule="exact"/>
        <w:ind w:firstLine="560" w:firstLineChars="200"/>
        <w:rPr>
          <w:rFonts w:hint="default" w:cs="宋体"/>
          <w:b w:val="0"/>
          <w:bCs w:val="0"/>
          <w:sz w:val="28"/>
          <w:szCs w:val="28"/>
        </w:rPr>
      </w:pPr>
      <w:r>
        <w:rPr>
          <w:rFonts w:cs="宋体"/>
          <w:b w:val="0"/>
          <w:bCs w:val="0"/>
          <w:sz w:val="28"/>
          <w:szCs w:val="28"/>
        </w:rPr>
        <w:t>2020年度</w:t>
      </w:r>
      <w:r>
        <w:rPr>
          <w:rFonts w:hint="eastAsia" w:cs="宋体"/>
          <w:color w:val="000000"/>
          <w:sz w:val="28"/>
          <w:szCs w:val="28"/>
          <w:lang w:val="en-US" w:eastAsia="zh-CN"/>
        </w:rPr>
        <w:t>渣土处置中心</w:t>
      </w:r>
      <w:r>
        <w:rPr>
          <w:rFonts w:cs="宋体"/>
          <w:b w:val="0"/>
          <w:bCs w:val="0"/>
          <w:sz w:val="28"/>
          <w:szCs w:val="28"/>
        </w:rPr>
        <w:t>一般公共预算财政拨款基本支出</w:t>
      </w:r>
      <w:r>
        <w:rPr>
          <w:rFonts w:cs="宋体"/>
          <w:b w:val="0"/>
          <w:bCs w:val="0"/>
          <w:color w:val="333333"/>
          <w:sz w:val="28"/>
          <w:szCs w:val="28"/>
        </w:rPr>
        <w:t>199.84</w:t>
      </w:r>
      <w:r>
        <w:rPr>
          <w:rFonts w:cs="宋体"/>
          <w:b w:val="0"/>
          <w:bCs w:val="0"/>
          <w:sz w:val="28"/>
          <w:szCs w:val="28"/>
        </w:rPr>
        <w:t>万元，其中：</w:t>
      </w:r>
    </w:p>
    <w:p>
      <w:pPr>
        <w:adjustRightInd w:val="0"/>
        <w:spacing w:beforeAutospacing="1" w:afterAutospacing="1" w:line="600" w:lineRule="exact"/>
        <w:ind w:firstLine="560" w:firstLineChars="200"/>
        <w:rPr>
          <w:rFonts w:hint="default" w:cs="宋体"/>
          <w:b w:val="0"/>
          <w:bCs w:val="0"/>
          <w:sz w:val="28"/>
          <w:szCs w:val="28"/>
        </w:rPr>
      </w:pPr>
      <w:r>
        <w:rPr>
          <w:rFonts w:cs="宋体"/>
          <w:b w:val="0"/>
          <w:bCs w:val="0"/>
          <w:sz w:val="28"/>
          <w:szCs w:val="28"/>
        </w:rPr>
        <w:t>（一）人员经费</w:t>
      </w:r>
      <w:r>
        <w:rPr>
          <w:rFonts w:cs="宋体"/>
          <w:b w:val="0"/>
          <w:bCs w:val="0"/>
          <w:color w:val="333333"/>
          <w:sz w:val="28"/>
          <w:szCs w:val="28"/>
        </w:rPr>
        <w:t>185.61</w:t>
      </w:r>
      <w:r>
        <w:rPr>
          <w:rFonts w:cs="宋体"/>
          <w:b w:val="0"/>
          <w:bCs w:val="0"/>
          <w:sz w:val="28"/>
          <w:szCs w:val="28"/>
        </w:rPr>
        <w:t>万元，主要包括：基本工资、津贴补贴、奖金、伙食补助费、绩效工资、机关事业单位基本养老保险缴费、职业年金缴费、其他社会保障缴费、其他工资福利支出、住房公积金、提租补贴、购房补贴、其他对个人和家庭的补助支出。</w:t>
      </w:r>
    </w:p>
    <w:p>
      <w:pPr>
        <w:adjustRightInd w:val="0"/>
        <w:spacing w:beforeAutospacing="1" w:afterAutospacing="1" w:line="600" w:lineRule="exact"/>
        <w:ind w:firstLine="560" w:firstLineChars="200"/>
        <w:rPr>
          <w:rFonts w:hint="default" w:cs="宋体"/>
          <w:b w:val="0"/>
          <w:bCs w:val="0"/>
          <w:sz w:val="28"/>
          <w:szCs w:val="28"/>
        </w:rPr>
      </w:pPr>
      <w:r>
        <w:rPr>
          <w:rFonts w:cs="宋体"/>
          <w:b w:val="0"/>
          <w:bCs w:val="0"/>
          <w:sz w:val="28"/>
          <w:szCs w:val="28"/>
        </w:rPr>
        <w:t>（二）公用经费</w:t>
      </w:r>
      <w:r>
        <w:rPr>
          <w:rFonts w:cs="宋体"/>
          <w:b w:val="0"/>
          <w:bCs w:val="0"/>
          <w:color w:val="333333"/>
          <w:sz w:val="28"/>
          <w:szCs w:val="28"/>
        </w:rPr>
        <w:t>14.23</w:t>
      </w:r>
      <w:r>
        <w:rPr>
          <w:rFonts w:cs="宋体"/>
          <w:b w:val="0"/>
          <w:bCs w:val="0"/>
          <w:sz w:val="28"/>
          <w:szCs w:val="28"/>
        </w:rPr>
        <w:t>万元，主要包括：办公费、印刷费、水费、电费、邮电费、物业管理费、差旅费、维修（护）费、培训费、劳务费、工会经费、公务用车运行维护费、其他交通费用、其他商品和服务支出。</w:t>
      </w:r>
    </w:p>
    <w:p>
      <w:pPr>
        <w:pStyle w:val="4"/>
        <w:bidi w:val="0"/>
        <w:ind w:left="723" w:hanging="723" w:hangingChars="200"/>
        <w:rPr>
          <w:rFonts w:hint="default"/>
        </w:rPr>
      </w:pPr>
      <w:bookmarkStart w:id="141" w:name="_Toc11412"/>
      <w:bookmarkEnd w:id="141"/>
      <w:bookmarkStart w:id="142" w:name="_Toc13179"/>
      <w:bookmarkStart w:id="143" w:name="_Toc4388"/>
      <w:bookmarkStart w:id="144" w:name="_Toc18839"/>
      <w:bookmarkStart w:id="145" w:name="_Toc12024"/>
      <w:bookmarkStart w:id="146" w:name="_Toc21150"/>
      <w:bookmarkStart w:id="147" w:name="_Toc17464"/>
      <w:r>
        <w:t>六、一般公共预算拨款“三公”经费支出决算情况</w:t>
      </w:r>
      <w:r>
        <w:rPr>
          <w:rFonts w:hint="eastAsia"/>
          <w:lang w:val="en-US" w:eastAsia="zh-CN"/>
        </w:rPr>
        <w:t xml:space="preserve"> </w:t>
      </w:r>
      <w:r>
        <w:t>说明</w:t>
      </w:r>
      <w:bookmarkEnd w:id="142"/>
      <w:bookmarkEnd w:id="143"/>
      <w:bookmarkEnd w:id="144"/>
      <w:bookmarkEnd w:id="145"/>
      <w:bookmarkEnd w:id="146"/>
      <w:bookmarkEnd w:id="147"/>
    </w:p>
    <w:p>
      <w:pPr>
        <w:bidi w:val="0"/>
        <w:ind w:firstLine="560" w:firstLineChars="200"/>
        <w:rPr>
          <w:rFonts w:hint="default"/>
          <w:sz w:val="28"/>
          <w:szCs w:val="28"/>
        </w:rPr>
      </w:pPr>
      <w:r>
        <w:rPr>
          <w:sz w:val="28"/>
          <w:szCs w:val="28"/>
        </w:rPr>
        <w:t>2020年度</w:t>
      </w:r>
      <w:r>
        <w:rPr>
          <w:rFonts w:hint="eastAsia" w:cs="宋体"/>
          <w:color w:val="000000"/>
          <w:sz w:val="28"/>
          <w:szCs w:val="28"/>
          <w:lang w:val="en-US" w:eastAsia="zh-CN"/>
        </w:rPr>
        <w:t>渣土处置中心</w:t>
      </w:r>
      <w:r>
        <w:rPr>
          <w:sz w:val="28"/>
          <w:szCs w:val="28"/>
        </w:rPr>
        <w:t>“三公”经费财政拨款支出1.04万元，比年初预算的1</w:t>
      </w:r>
      <w:r>
        <w:rPr>
          <w:rFonts w:hint="default"/>
          <w:sz w:val="28"/>
          <w:szCs w:val="28"/>
        </w:rPr>
        <w:t>.24</w:t>
      </w:r>
      <w:r>
        <w:rPr>
          <w:sz w:val="28"/>
          <w:szCs w:val="28"/>
        </w:rPr>
        <w:t>万元下降1</w:t>
      </w:r>
      <w:r>
        <w:rPr>
          <w:rFonts w:hint="default"/>
          <w:sz w:val="28"/>
          <w:szCs w:val="28"/>
        </w:rPr>
        <w:t>6</w:t>
      </w:r>
      <w:r>
        <w:rPr>
          <w:sz w:val="28"/>
          <w:szCs w:val="28"/>
        </w:rPr>
        <w:t>%。主要原因是公务</w:t>
      </w:r>
      <w:r>
        <w:rPr>
          <w:rFonts w:hint="default"/>
          <w:sz w:val="28"/>
          <w:szCs w:val="28"/>
        </w:rPr>
        <w:t>车辆经费厉行节约使用</w:t>
      </w:r>
      <w:r>
        <w:rPr>
          <w:sz w:val="28"/>
          <w:szCs w:val="28"/>
        </w:rPr>
        <w:t>。具体情况如下：</w:t>
      </w:r>
    </w:p>
    <w:p>
      <w:pPr>
        <w:bidi w:val="0"/>
        <w:rPr>
          <w:rFonts w:cs="宋体"/>
          <w:b w:val="0"/>
          <w:bCs w:val="0"/>
          <w:szCs w:val="28"/>
        </w:rPr>
      </w:pPr>
      <w:bookmarkStart w:id="148" w:name="_Toc31303"/>
      <w:bookmarkStart w:id="149" w:name="_Toc30462"/>
      <w:r>
        <w:rPr>
          <w:sz w:val="28"/>
          <w:szCs w:val="28"/>
        </w:rPr>
        <w:t>公务用车运行费支出1.04万元，比年初预算的1</w:t>
      </w:r>
      <w:r>
        <w:rPr>
          <w:rFonts w:hint="default"/>
          <w:sz w:val="28"/>
          <w:szCs w:val="28"/>
        </w:rPr>
        <w:t>.24</w:t>
      </w:r>
      <w:r>
        <w:rPr>
          <w:sz w:val="28"/>
          <w:szCs w:val="28"/>
        </w:rPr>
        <w:t>万元下降1</w:t>
      </w:r>
      <w:r>
        <w:rPr>
          <w:rFonts w:hint="default"/>
          <w:sz w:val="28"/>
          <w:szCs w:val="28"/>
        </w:rPr>
        <w:t>6</w:t>
      </w:r>
      <w:r>
        <w:rPr>
          <w:sz w:val="28"/>
          <w:szCs w:val="28"/>
        </w:rPr>
        <w:t>%，主要原因是公务</w:t>
      </w:r>
      <w:r>
        <w:rPr>
          <w:rFonts w:hint="default"/>
          <w:sz w:val="28"/>
          <w:szCs w:val="28"/>
        </w:rPr>
        <w:t>车辆经费厉行节约使用</w:t>
      </w:r>
      <w:r>
        <w:rPr>
          <w:sz w:val="28"/>
          <w:szCs w:val="28"/>
        </w:rPr>
        <w:t>。截至2020年12月31日，本部门公务用车保有量为1辆。</w:t>
      </w:r>
      <w:bookmarkEnd w:id="148"/>
      <w:bookmarkEnd w:id="149"/>
    </w:p>
    <w:p>
      <w:pPr>
        <w:pStyle w:val="4"/>
        <w:bidi w:val="0"/>
        <w:ind w:left="723" w:hanging="723" w:hangingChars="200"/>
        <w:rPr>
          <w:rFonts w:hint="default"/>
        </w:rPr>
      </w:pPr>
      <w:bookmarkStart w:id="150" w:name="_Toc6562"/>
      <w:bookmarkStart w:id="151" w:name="_Toc14546"/>
      <w:bookmarkStart w:id="152" w:name="_Toc31136"/>
      <w:bookmarkStart w:id="153" w:name="_Toc11014"/>
      <w:bookmarkStart w:id="154" w:name="_Toc27357"/>
      <w:bookmarkStart w:id="155" w:name="_Toc13754"/>
      <w:r>
        <w:t>七、预算绩效情况说明</w:t>
      </w:r>
      <w:bookmarkEnd w:id="150"/>
      <w:bookmarkEnd w:id="151"/>
      <w:bookmarkEnd w:id="152"/>
      <w:bookmarkEnd w:id="153"/>
      <w:bookmarkEnd w:id="154"/>
      <w:bookmarkEnd w:id="155"/>
    </w:p>
    <w:p>
      <w:pPr>
        <w:adjustRightInd w:val="0"/>
        <w:spacing w:beforeAutospacing="1" w:afterAutospacing="1" w:line="600" w:lineRule="exact"/>
        <w:ind w:firstLine="560" w:firstLineChars="200"/>
        <w:rPr>
          <w:rFonts w:hint="default" w:cs="宋体"/>
          <w:sz w:val="28"/>
          <w:szCs w:val="28"/>
        </w:rPr>
      </w:pPr>
      <w:r>
        <w:rPr>
          <w:rFonts w:cs="宋体"/>
          <w:sz w:val="28"/>
          <w:szCs w:val="28"/>
        </w:rPr>
        <w:t>2</w:t>
      </w:r>
      <w:r>
        <w:rPr>
          <w:rFonts w:hint="default" w:cs="宋体"/>
          <w:sz w:val="28"/>
          <w:szCs w:val="28"/>
        </w:rPr>
        <w:t>020</w:t>
      </w:r>
      <w:r>
        <w:rPr>
          <w:rFonts w:cs="宋体"/>
          <w:sz w:val="28"/>
          <w:szCs w:val="28"/>
        </w:rPr>
        <w:t>年度渣土</w:t>
      </w:r>
      <w:r>
        <w:rPr>
          <w:rFonts w:hint="default" w:cs="宋体"/>
          <w:sz w:val="28"/>
          <w:szCs w:val="28"/>
        </w:rPr>
        <w:t>处置中心</w:t>
      </w:r>
      <w:r>
        <w:rPr>
          <w:rFonts w:cs="宋体"/>
          <w:sz w:val="28"/>
          <w:szCs w:val="28"/>
        </w:rPr>
        <w:t>无部门评价项目。</w:t>
      </w:r>
    </w:p>
    <w:p>
      <w:pPr>
        <w:pStyle w:val="4"/>
        <w:rPr>
          <w:rFonts w:hint="default" w:cs="宋体"/>
        </w:rPr>
      </w:pPr>
      <w:bookmarkStart w:id="156" w:name="_Toc22324"/>
      <w:bookmarkEnd w:id="156"/>
      <w:bookmarkStart w:id="157" w:name="_Toc24429"/>
      <w:bookmarkStart w:id="158" w:name="_Toc2025"/>
      <w:bookmarkStart w:id="159" w:name="_Toc28034"/>
      <w:bookmarkStart w:id="160" w:name="_Toc17909"/>
      <w:bookmarkStart w:id="161" w:name="_Toc9647"/>
      <w:bookmarkStart w:id="162" w:name="_Toc9648"/>
      <w:r>
        <w:rPr>
          <w:rFonts w:cs="宋体"/>
        </w:rPr>
        <w:t>八、其他重要事项说明</w:t>
      </w:r>
      <w:bookmarkEnd w:id="157"/>
      <w:bookmarkEnd w:id="158"/>
      <w:bookmarkEnd w:id="159"/>
      <w:bookmarkEnd w:id="160"/>
      <w:bookmarkEnd w:id="161"/>
      <w:bookmarkEnd w:id="162"/>
    </w:p>
    <w:p>
      <w:pPr>
        <w:bidi w:val="0"/>
        <w:ind w:firstLine="560" w:firstLineChars="200"/>
        <w:rPr>
          <w:rFonts w:hint="default"/>
          <w:sz w:val="28"/>
          <w:szCs w:val="28"/>
        </w:rPr>
      </w:pPr>
      <w:r>
        <w:rPr>
          <w:sz w:val="28"/>
          <w:szCs w:val="28"/>
        </w:rPr>
        <w:t xml:space="preserve">（一）机关运行经费 </w:t>
      </w:r>
    </w:p>
    <w:p>
      <w:pPr>
        <w:bidi w:val="0"/>
        <w:ind w:firstLine="560" w:firstLineChars="200"/>
        <w:rPr>
          <w:rFonts w:hint="default"/>
          <w:sz w:val="28"/>
          <w:szCs w:val="28"/>
        </w:rPr>
      </w:pPr>
      <w:r>
        <w:rPr>
          <w:sz w:val="28"/>
          <w:szCs w:val="28"/>
        </w:rPr>
        <w:t>渣土</w:t>
      </w:r>
      <w:r>
        <w:rPr>
          <w:rFonts w:hint="default"/>
          <w:sz w:val="28"/>
          <w:szCs w:val="28"/>
        </w:rPr>
        <w:t>处置</w:t>
      </w:r>
      <w:r>
        <w:rPr>
          <w:sz w:val="28"/>
          <w:szCs w:val="28"/>
        </w:rPr>
        <w:t>中心为事业单位没有机关运行经费。</w:t>
      </w:r>
    </w:p>
    <w:p>
      <w:pPr>
        <w:bidi w:val="0"/>
        <w:ind w:firstLine="560" w:firstLineChars="200"/>
        <w:rPr>
          <w:rFonts w:hint="default"/>
          <w:sz w:val="28"/>
          <w:szCs w:val="28"/>
        </w:rPr>
      </w:pPr>
      <w:r>
        <w:rPr>
          <w:sz w:val="28"/>
          <w:szCs w:val="28"/>
        </w:rPr>
        <w:t>（二）政府采购情况</w:t>
      </w:r>
    </w:p>
    <w:p>
      <w:pPr>
        <w:bidi w:val="0"/>
        <w:ind w:firstLine="560" w:firstLineChars="200"/>
        <w:rPr>
          <w:rFonts w:hint="default"/>
          <w:sz w:val="28"/>
          <w:szCs w:val="28"/>
        </w:rPr>
      </w:pPr>
      <w:r>
        <w:rPr>
          <w:sz w:val="28"/>
          <w:szCs w:val="28"/>
        </w:rPr>
        <w:t>渣土</w:t>
      </w:r>
      <w:r>
        <w:rPr>
          <w:rFonts w:hint="default"/>
          <w:sz w:val="28"/>
          <w:szCs w:val="28"/>
        </w:rPr>
        <w:t>处置中心</w:t>
      </w:r>
      <w:r>
        <w:rPr>
          <w:sz w:val="28"/>
          <w:szCs w:val="28"/>
        </w:rPr>
        <w:t>2020年度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w:t>
      </w:r>
    </w:p>
    <w:p>
      <w:pPr>
        <w:bidi w:val="0"/>
        <w:ind w:firstLine="560" w:firstLineChars="200"/>
        <w:rPr>
          <w:rFonts w:hint="default"/>
          <w:sz w:val="28"/>
          <w:szCs w:val="28"/>
        </w:rPr>
      </w:pPr>
      <w:r>
        <w:rPr>
          <w:sz w:val="28"/>
          <w:szCs w:val="28"/>
        </w:rPr>
        <w:t xml:space="preserve">（三）国有资产占用使用情况 </w:t>
      </w:r>
    </w:p>
    <w:p>
      <w:pPr>
        <w:bidi w:val="0"/>
        <w:ind w:firstLine="560" w:firstLineChars="200"/>
        <w:rPr>
          <w:rFonts w:hint="default"/>
          <w:sz w:val="28"/>
          <w:szCs w:val="28"/>
        </w:rPr>
      </w:pPr>
      <w:r>
        <w:rPr>
          <w:sz w:val="28"/>
          <w:szCs w:val="28"/>
        </w:rPr>
        <w:t>截至2020年12月31日，本部门共有车辆10辆，其中：副部（省）级以上领导用车0辆、主要领导干部用车0辆、机要通信用车1辆、应急保障用车0辆、执法执勤用车0辆、特种专业技术用车0辆、离退休干部用车0辆、其他用车9辆；单价50万元（含）以上通用设备0台（套），单价100万元（含）以上专用设备0台（套）。</w:t>
      </w:r>
    </w:p>
    <w:p>
      <w:pPr>
        <w:adjustRightInd w:val="0"/>
        <w:spacing w:beforeAutospacing="1" w:afterAutospacing="1" w:line="600" w:lineRule="exact"/>
        <w:ind w:firstLine="640" w:firstLineChars="200"/>
        <w:rPr>
          <w:rFonts w:hint="default" w:cs="宋体"/>
          <w:sz w:val="32"/>
          <w:szCs w:val="32"/>
        </w:rPr>
      </w:pPr>
      <w:r>
        <w:rPr>
          <w:rFonts w:cs="宋体"/>
          <w:sz w:val="32"/>
          <w:szCs w:val="32"/>
        </w:rPr>
        <w:t xml:space="preserve"> </w:t>
      </w:r>
    </w:p>
    <w:p>
      <w:pPr>
        <w:pStyle w:val="3"/>
        <w:jc w:val="center"/>
        <w:rPr>
          <w:rFonts w:hint="default" w:cs="宋体"/>
        </w:rPr>
      </w:pPr>
      <w:bookmarkStart w:id="163" w:name="_Toc17091"/>
      <w:bookmarkEnd w:id="163"/>
      <w:bookmarkStart w:id="164" w:name="_Toc5239"/>
      <w:bookmarkStart w:id="165" w:name="_Toc30537"/>
      <w:bookmarkStart w:id="166" w:name="_Toc6140"/>
      <w:bookmarkStart w:id="167" w:name="_Toc23527"/>
      <w:bookmarkStart w:id="168" w:name="_Toc10151"/>
      <w:bookmarkStart w:id="169" w:name="_Toc31416"/>
      <w:r>
        <w:rPr>
          <w:rFonts w:cs="宋体"/>
        </w:rPr>
        <w:t>第四部分 名词解释</w:t>
      </w:r>
      <w:bookmarkEnd w:id="164"/>
      <w:bookmarkEnd w:id="165"/>
      <w:bookmarkEnd w:id="166"/>
      <w:bookmarkEnd w:id="167"/>
      <w:bookmarkEnd w:id="168"/>
      <w:bookmarkEnd w:id="169"/>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一、一般公共预算财政拨款收入：指市级财政当年拨付的资金。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二、事业收入：指事业单位开展专业业务活动及辅助活动所取得的收入。</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三、经营收入：指事业单位在专业业务活动及其辅助活动之外开展非独立核算经营活动取得的收入。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四、其他收入：指除上述“财政拨款收入”、“事业收入”、“经营收入”等以外的收入。主要是事业单位固定资产出租收入、存款利息收入等。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 xml:space="preserve">五、使用非财政拨款结余：指事业单位使用以前年度积累的非财政拨款结余弥补当年收支差额的金额。 </w:t>
      </w:r>
    </w:p>
    <w:p>
      <w:pPr>
        <w:spacing w:beforeAutospacing="1" w:afterAutospacing="1" w:line="600" w:lineRule="exact"/>
        <w:ind w:firstLine="618" w:firstLineChars="221"/>
        <w:rPr>
          <w:rFonts w:hint="default" w:cs="宋体"/>
          <w:bCs/>
          <w:color w:val="000000"/>
          <w:sz w:val="28"/>
          <w:szCs w:val="28"/>
        </w:rPr>
      </w:pPr>
      <w:r>
        <w:rPr>
          <w:rFonts w:cs="宋体"/>
          <w:bCs/>
          <w:color w:val="000000"/>
          <w:sz w:val="28"/>
          <w:szCs w:val="28"/>
        </w:rPr>
        <w:t>六、年初结转和结余：指单位以前年度尚未完成、结转到本年仍按原规定用途继续使用的资金，或项目已完成等产生的结余资金。</w:t>
      </w:r>
    </w:p>
    <w:p>
      <w:pPr>
        <w:pStyle w:val="21"/>
        <w:spacing w:line="600" w:lineRule="exact"/>
        <w:ind w:firstLine="640"/>
        <w:rPr>
          <w:rFonts w:hint="default" w:cs="宋体"/>
          <w:bCs/>
          <w:sz w:val="28"/>
          <w:szCs w:val="28"/>
        </w:rPr>
      </w:pPr>
      <w:r>
        <w:rPr>
          <w:rFonts w:cs="宋体"/>
          <w:bCs/>
          <w:sz w:val="28"/>
          <w:szCs w:val="28"/>
        </w:rPr>
        <w:t xml:space="preserve">七、结余分配：指事业单位按照会计制度规定缴纳的所得税、提取的专用结余以及转入非财政拨款结余的金额等。 </w:t>
      </w:r>
    </w:p>
    <w:p>
      <w:pPr>
        <w:pStyle w:val="21"/>
        <w:spacing w:line="600" w:lineRule="exact"/>
        <w:ind w:firstLine="640"/>
        <w:rPr>
          <w:rFonts w:hint="default" w:cs="宋体"/>
          <w:bCs/>
          <w:sz w:val="28"/>
          <w:szCs w:val="28"/>
        </w:rPr>
      </w:pPr>
      <w:r>
        <w:rPr>
          <w:rFonts w:cs="宋体"/>
          <w:bCs/>
          <w:sz w:val="28"/>
          <w:szCs w:val="28"/>
        </w:rPr>
        <w:t xml:space="preserve">八、年末结转和结余：指单位按有关规定结转到下年或以后年度继续使用的资金，或项目已完成等产生的结余资金。 </w:t>
      </w:r>
    </w:p>
    <w:p>
      <w:pPr>
        <w:pStyle w:val="21"/>
        <w:spacing w:line="600" w:lineRule="exact"/>
        <w:ind w:firstLine="640"/>
        <w:rPr>
          <w:rFonts w:hint="default" w:cs="宋体"/>
          <w:bCs/>
          <w:sz w:val="28"/>
          <w:szCs w:val="28"/>
        </w:rPr>
      </w:pPr>
      <w:r>
        <w:rPr>
          <w:rFonts w:cs="宋体"/>
          <w:bCs/>
          <w:sz w:val="28"/>
          <w:szCs w:val="28"/>
        </w:rPr>
        <w:t xml:space="preserve">九、基本支出：指为保障机构正常运转、完成日常工作任务而发生的人员支出和公用支出。 </w:t>
      </w:r>
    </w:p>
    <w:p>
      <w:pPr>
        <w:pStyle w:val="21"/>
        <w:spacing w:line="600" w:lineRule="exact"/>
        <w:ind w:firstLine="640"/>
        <w:rPr>
          <w:rFonts w:hint="default" w:cs="宋体"/>
          <w:bCs/>
          <w:sz w:val="28"/>
          <w:szCs w:val="28"/>
        </w:rPr>
      </w:pPr>
      <w:r>
        <w:rPr>
          <w:rFonts w:cs="宋体"/>
          <w:bCs/>
          <w:sz w:val="28"/>
          <w:szCs w:val="28"/>
        </w:rPr>
        <w:t xml:space="preserve">十、项目支出：指在基本支出之外为完成特定行政任务和事业发展目标所发生的支出。 </w:t>
      </w:r>
    </w:p>
    <w:p>
      <w:pPr>
        <w:pStyle w:val="21"/>
        <w:spacing w:line="600" w:lineRule="exact"/>
        <w:ind w:firstLine="640"/>
        <w:rPr>
          <w:rFonts w:hint="default" w:cs="宋体"/>
          <w:bCs/>
          <w:sz w:val="28"/>
          <w:szCs w:val="28"/>
        </w:rPr>
      </w:pPr>
      <w:r>
        <w:rPr>
          <w:rFonts w:cs="宋体"/>
          <w:bCs/>
          <w:sz w:val="28"/>
          <w:szCs w:val="28"/>
        </w:rPr>
        <w:t xml:space="preserve">十一、经营支出：指事业单位在专业业务活动及其辅助活动之外开展非独立核算经营活动发生的支出。 </w:t>
      </w:r>
    </w:p>
    <w:p>
      <w:pPr>
        <w:pStyle w:val="21"/>
        <w:spacing w:line="600" w:lineRule="exact"/>
        <w:ind w:firstLine="640"/>
        <w:rPr>
          <w:rFonts w:hint="default" w:cs="宋体"/>
          <w:bCs/>
          <w:sz w:val="28"/>
          <w:szCs w:val="28"/>
        </w:rPr>
      </w:pPr>
      <w:r>
        <w:rPr>
          <w:rFonts w:cs="宋体"/>
          <w:bCs/>
          <w:sz w:val="28"/>
          <w:szCs w:val="28"/>
        </w:rPr>
        <w:t xml:space="preserve">十二、“三公”经费：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    </w:t>
      </w:r>
      <w:r>
        <w:rPr>
          <w:rFonts w:hint="default" w:cs="宋体"/>
          <w:bCs/>
          <w:sz w:val="28"/>
          <w:szCs w:val="28"/>
        </w:rPr>
        <w:t xml:space="preserve">  </w:t>
      </w:r>
      <w:r>
        <w:rPr>
          <w:rFonts w:cs="宋体"/>
          <w:bCs/>
          <w:sz w:val="28"/>
          <w:szCs w:val="28"/>
        </w:rPr>
        <w:t xml:space="preserve">过桥费、保险费、安全奖励费用等支出；公务接待费反映单位按规定开支的各类公务接待（含外宾接待）支出。 </w:t>
      </w:r>
    </w:p>
    <w:p>
      <w:pPr>
        <w:spacing w:beforeAutospacing="1" w:afterAutospacing="1"/>
        <w:ind w:firstLine="560" w:firstLineChars="200"/>
        <w:rPr>
          <w:rFonts w:hint="default" w:cs="宋体"/>
          <w:bCs/>
          <w:sz w:val="28"/>
          <w:szCs w:val="28"/>
        </w:rPr>
      </w:pPr>
      <w:r>
        <w:rPr>
          <w:rFonts w:cs="宋体"/>
          <w:bCs/>
          <w:color w:val="000000"/>
          <w:sz w:val="28"/>
          <w:szCs w:val="28"/>
        </w:rPr>
        <w:t>十三、机关运行经费：为保障行政单位（含参照公务员法管理的事业单位）运行用于购买货物和服务的各项资金，包括办公及印刷费、邮电费、差旅费、会议</w:t>
      </w:r>
      <w:r>
        <w:rPr>
          <w:rFonts w:cs="宋体"/>
          <w:bCs/>
          <w:sz w:val="28"/>
          <w:szCs w:val="28"/>
        </w:rPr>
        <w:t>费、福利费、日常维修费、专用材料及一般设备购置费、办公用房水电费、办公用房取暖费、办公用房物业管理费、公务用车运行维护费以及其他费用。</w:t>
      </w:r>
    </w:p>
    <w:p>
      <w:pPr>
        <w:spacing w:beforeAutospacing="1" w:afterAutospacing="1"/>
        <w:ind w:firstLine="640" w:firstLineChars="200"/>
        <w:rPr>
          <w:rFonts w:hint="default" w:cs="宋体"/>
          <w:sz w:val="32"/>
          <w:szCs w:val="32"/>
        </w:rPr>
      </w:pPr>
      <w:r>
        <w:rPr>
          <w:rFonts w:cs="宋体"/>
          <w:sz w:val="32"/>
          <w:szCs w:val="32"/>
        </w:rPr>
        <w:t xml:space="preserve"> </w:t>
      </w:r>
    </w:p>
    <w:p>
      <w:pPr>
        <w:pStyle w:val="3"/>
        <w:jc w:val="center"/>
        <w:rPr>
          <w:rFonts w:hint="default" w:cs="宋体"/>
        </w:rPr>
      </w:pPr>
      <w:bookmarkStart w:id="170" w:name="_Toc15315"/>
      <w:bookmarkEnd w:id="170"/>
      <w:bookmarkStart w:id="171" w:name="_Toc314"/>
      <w:bookmarkStart w:id="172" w:name="_Toc930"/>
      <w:bookmarkStart w:id="173" w:name="_Toc0"/>
      <w:bookmarkStart w:id="174" w:name="_Toc27745"/>
      <w:bookmarkStart w:id="175" w:name="_Toc4802"/>
      <w:bookmarkStart w:id="176" w:name="_Toc10632"/>
      <w:r>
        <w:rPr>
          <w:rFonts w:cs="宋体"/>
        </w:rPr>
        <w:t>第五部分 附件</w:t>
      </w:r>
      <w:bookmarkEnd w:id="171"/>
      <w:bookmarkEnd w:id="172"/>
      <w:bookmarkEnd w:id="173"/>
      <w:bookmarkEnd w:id="174"/>
      <w:bookmarkEnd w:id="175"/>
      <w:bookmarkEnd w:id="176"/>
    </w:p>
    <w:p>
      <w:pPr>
        <w:ind w:firstLine="560" w:firstLineChars="200"/>
        <w:rPr>
          <w:sz w:val="28"/>
          <w:szCs w:val="28"/>
        </w:rPr>
      </w:pPr>
      <w:r>
        <w:rPr>
          <w:rFonts w:cs="宋体"/>
          <w:sz w:val="28"/>
          <w:szCs w:val="28"/>
        </w:rPr>
        <w:t>2</w:t>
      </w:r>
      <w:r>
        <w:rPr>
          <w:rFonts w:hint="default" w:cs="宋体"/>
          <w:sz w:val="28"/>
          <w:szCs w:val="28"/>
        </w:rPr>
        <w:t>020</w:t>
      </w:r>
      <w:r>
        <w:rPr>
          <w:rFonts w:cs="宋体"/>
          <w:sz w:val="28"/>
          <w:szCs w:val="28"/>
        </w:rPr>
        <w:t>年度渣土</w:t>
      </w:r>
      <w:r>
        <w:rPr>
          <w:rFonts w:hint="default" w:cs="宋体"/>
          <w:sz w:val="28"/>
          <w:szCs w:val="28"/>
        </w:rPr>
        <w:t>处置中心</w:t>
      </w:r>
      <w:r>
        <w:rPr>
          <w:rFonts w:cs="宋体"/>
          <w:sz w:val="28"/>
          <w:szCs w:val="28"/>
        </w:rPr>
        <w:t>无部门评价项目，</w:t>
      </w:r>
      <w:r>
        <w:rPr>
          <w:rFonts w:hint="default" w:cs="宋体"/>
          <w:sz w:val="28"/>
          <w:szCs w:val="28"/>
        </w:rPr>
        <w:t>因此无附件。</w:t>
      </w:r>
    </w:p>
    <w:p>
      <w:pPr>
        <w:spacing w:beforeAutospacing="1" w:afterAutospacing="1"/>
        <w:ind w:firstLine="640" w:firstLineChars="200"/>
        <w:rPr>
          <w:rFonts w:hint="default" w:cs="宋体"/>
          <w:sz w:val="32"/>
          <w:szCs w:val="32"/>
        </w:rPr>
      </w:pPr>
    </w:p>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3A8FE"/>
    <w:multiLevelType w:val="singleLevel"/>
    <w:tmpl w:val="3453A8FE"/>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97"/>
    <w:rsid w:val="00003460"/>
    <w:rsid w:val="00072AF7"/>
    <w:rsid w:val="0017078E"/>
    <w:rsid w:val="0036552A"/>
    <w:rsid w:val="00485953"/>
    <w:rsid w:val="00557F0C"/>
    <w:rsid w:val="005A6BCD"/>
    <w:rsid w:val="005D4897"/>
    <w:rsid w:val="005E6268"/>
    <w:rsid w:val="006D0EB5"/>
    <w:rsid w:val="006D4327"/>
    <w:rsid w:val="009D1DEE"/>
    <w:rsid w:val="00A237FF"/>
    <w:rsid w:val="00BC3766"/>
    <w:rsid w:val="00C11B73"/>
    <w:rsid w:val="00D4797A"/>
    <w:rsid w:val="00D548BB"/>
    <w:rsid w:val="00EF5113"/>
    <w:rsid w:val="00F62FF2"/>
    <w:rsid w:val="00F70FD0"/>
    <w:rsid w:val="02894FE7"/>
    <w:rsid w:val="03BE052C"/>
    <w:rsid w:val="04895421"/>
    <w:rsid w:val="04B67F2B"/>
    <w:rsid w:val="050E335E"/>
    <w:rsid w:val="0628706F"/>
    <w:rsid w:val="06741BA3"/>
    <w:rsid w:val="08601FDC"/>
    <w:rsid w:val="0D73363C"/>
    <w:rsid w:val="0D8B498A"/>
    <w:rsid w:val="1347205F"/>
    <w:rsid w:val="15250C56"/>
    <w:rsid w:val="171C23AD"/>
    <w:rsid w:val="17374524"/>
    <w:rsid w:val="1B1D60E5"/>
    <w:rsid w:val="1CFD6E0B"/>
    <w:rsid w:val="213D040F"/>
    <w:rsid w:val="22044FAB"/>
    <w:rsid w:val="24125639"/>
    <w:rsid w:val="24B6749F"/>
    <w:rsid w:val="27BA38D0"/>
    <w:rsid w:val="28F92CD7"/>
    <w:rsid w:val="29A4584A"/>
    <w:rsid w:val="2B025CAE"/>
    <w:rsid w:val="2B915A81"/>
    <w:rsid w:val="2BFA5A75"/>
    <w:rsid w:val="2D375849"/>
    <w:rsid w:val="34B16306"/>
    <w:rsid w:val="35FD0AE9"/>
    <w:rsid w:val="37C604AB"/>
    <w:rsid w:val="38B031C8"/>
    <w:rsid w:val="3916260B"/>
    <w:rsid w:val="3BB67B21"/>
    <w:rsid w:val="3DDD6FD3"/>
    <w:rsid w:val="3E9E77F8"/>
    <w:rsid w:val="3EC11213"/>
    <w:rsid w:val="40AB6B6B"/>
    <w:rsid w:val="40AD1C4B"/>
    <w:rsid w:val="415D2646"/>
    <w:rsid w:val="43CA57A9"/>
    <w:rsid w:val="475C5110"/>
    <w:rsid w:val="48CD6FE7"/>
    <w:rsid w:val="4AD87B12"/>
    <w:rsid w:val="4B661AC0"/>
    <w:rsid w:val="4EDF3D81"/>
    <w:rsid w:val="529F3614"/>
    <w:rsid w:val="53740538"/>
    <w:rsid w:val="55BF5D9D"/>
    <w:rsid w:val="57804BC9"/>
    <w:rsid w:val="57BF7E71"/>
    <w:rsid w:val="59C2116D"/>
    <w:rsid w:val="5A792B2B"/>
    <w:rsid w:val="5A823BF8"/>
    <w:rsid w:val="5F2A680B"/>
    <w:rsid w:val="5F8763E7"/>
    <w:rsid w:val="61171DE2"/>
    <w:rsid w:val="611E4DF0"/>
    <w:rsid w:val="6A1E1F62"/>
    <w:rsid w:val="6A5376C0"/>
    <w:rsid w:val="6DAF4F06"/>
    <w:rsid w:val="6F4A13BE"/>
    <w:rsid w:val="709D2672"/>
    <w:rsid w:val="71992E94"/>
    <w:rsid w:val="731B17AF"/>
    <w:rsid w:val="776F3983"/>
    <w:rsid w:val="77B15AD9"/>
    <w:rsid w:val="78A6697F"/>
    <w:rsid w:val="7A867D2C"/>
    <w:rsid w:val="7DC5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rPr>
      <w:rFonts w:hint="eastAsia" w:ascii="宋体" w:hAnsi="宋体" w:eastAsia="宋体" w:cs="Times New Roman"/>
      <w:sz w:val="24"/>
      <w:szCs w:val="24"/>
      <w:lang w:val="en-US" w:eastAsia="zh-CN" w:bidi="ar-SA"/>
    </w:rPr>
  </w:style>
  <w:style w:type="paragraph" w:styleId="3">
    <w:name w:val="heading 1"/>
    <w:basedOn w:val="1"/>
    <w:next w:val="1"/>
    <w:qFormat/>
    <w:uiPriority w:val="9"/>
    <w:pPr>
      <w:spacing w:beforeAutospacing="1" w:afterAutospacing="1"/>
      <w:outlineLvl w:val="0"/>
    </w:pPr>
    <w:rPr>
      <w:b/>
      <w:bCs/>
      <w:kern w:val="44"/>
      <w:sz w:val="48"/>
      <w:szCs w:val="48"/>
    </w:rPr>
  </w:style>
  <w:style w:type="paragraph" w:styleId="4">
    <w:name w:val="heading 2"/>
    <w:basedOn w:val="1"/>
    <w:next w:val="1"/>
    <w:qFormat/>
    <w:uiPriority w:val="9"/>
    <w:pPr>
      <w:spacing w:beforeAutospacing="1" w:afterAutospacing="1"/>
      <w:outlineLvl w:val="1"/>
    </w:pPr>
    <w:rPr>
      <w:b/>
      <w:bCs/>
      <w:sz w:val="36"/>
      <w:szCs w:val="36"/>
    </w:rPr>
  </w:style>
  <w:style w:type="paragraph" w:styleId="5">
    <w:name w:val="heading 3"/>
    <w:basedOn w:val="1"/>
    <w:next w:val="1"/>
    <w:qFormat/>
    <w:uiPriority w:val="9"/>
    <w:pPr>
      <w:spacing w:beforeAutospacing="1" w:afterAutospacing="1"/>
      <w:outlineLvl w:val="2"/>
    </w:pPr>
    <w:rPr>
      <w:b/>
      <w:bCs/>
      <w:sz w:val="27"/>
      <w:szCs w:val="27"/>
    </w:rPr>
  </w:style>
  <w:style w:type="paragraph" w:styleId="6">
    <w:name w:val="heading 4"/>
    <w:basedOn w:val="1"/>
    <w:next w:val="1"/>
    <w:qFormat/>
    <w:uiPriority w:val="9"/>
    <w:pPr>
      <w:spacing w:beforeAutospacing="1" w:afterAutospacing="1"/>
      <w:outlineLvl w:val="3"/>
    </w:pPr>
    <w:rPr>
      <w:b/>
      <w:bCs/>
    </w:rPr>
  </w:style>
  <w:style w:type="paragraph" w:styleId="7">
    <w:name w:val="heading 5"/>
    <w:basedOn w:val="1"/>
    <w:next w:val="1"/>
    <w:qFormat/>
    <w:uiPriority w:val="9"/>
    <w:pPr>
      <w:spacing w:beforeAutospacing="1" w:afterAutospacing="1"/>
      <w:outlineLvl w:val="4"/>
    </w:pPr>
    <w:rPr>
      <w:b/>
      <w:bCs/>
      <w:sz w:val="20"/>
      <w:szCs w:val="20"/>
    </w:rPr>
  </w:style>
  <w:style w:type="paragraph" w:styleId="8">
    <w:name w:val="heading 6"/>
    <w:basedOn w:val="1"/>
    <w:next w:val="1"/>
    <w:qFormat/>
    <w:uiPriority w:val="9"/>
    <w:pPr>
      <w:spacing w:beforeAutospacing="1" w:afterAutospacing="1"/>
      <w:outlineLvl w:val="5"/>
    </w:pPr>
    <w:rPr>
      <w:b/>
      <w:bCs/>
      <w:sz w:val="15"/>
      <w:szCs w:val="15"/>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rPr>
      <w:rFonts w:hint="default" w:ascii="Times New Roman" w:hAnsi="Times New Roman"/>
    </w:rPr>
  </w:style>
  <w:style w:type="paragraph" w:styleId="9">
    <w:name w:val="footer"/>
    <w:basedOn w:val="1"/>
    <w:qFormat/>
    <w:uiPriority w:val="0"/>
    <w:pPr>
      <w:snapToGrid w:val="0"/>
    </w:pPr>
    <w:rPr>
      <w:sz w:val="18"/>
      <w:szCs w:val="18"/>
    </w:rPr>
  </w:style>
  <w:style w:type="paragraph" w:styleId="10">
    <w:name w:val="header"/>
    <w:basedOn w:val="1"/>
    <w:qFormat/>
    <w:uiPriority w:val="0"/>
    <w:pPr>
      <w:pBdr>
        <w:bottom w:val="single" w:color="auto" w:sz="6" w:space="1"/>
      </w:pBdr>
      <w:snapToGrid w:val="0"/>
      <w:jc w:val="center"/>
    </w:pPr>
    <w:rPr>
      <w:sz w:val="18"/>
      <w:szCs w:val="18"/>
    </w:rPr>
  </w:style>
  <w:style w:type="paragraph" w:styleId="11">
    <w:name w:val="toc 1"/>
    <w:basedOn w:val="1"/>
    <w:next w:val="1"/>
    <w:qFormat/>
    <w:uiPriority w:val="39"/>
  </w:style>
  <w:style w:type="paragraph" w:styleId="12">
    <w:name w:val="toc 2"/>
    <w:basedOn w:val="1"/>
    <w:next w:val="1"/>
    <w:uiPriority w:val="39"/>
    <w:pPr>
      <w:ind w:left="420" w:leftChars="200"/>
    </w:pPr>
  </w:style>
  <w:style w:type="paragraph" w:styleId="1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Courier New" w:hAnsi="Courier New"/>
      <w:sz w:val="20"/>
      <w:szCs w:val="20"/>
    </w:rPr>
  </w:style>
  <w:style w:type="paragraph" w:styleId="14">
    <w:name w:val="Normal (Web)"/>
    <w:basedOn w:val="1"/>
    <w:uiPriority w:val="0"/>
    <w:pPr>
      <w:spacing w:beforeAutospacing="1" w:afterAutospacing="1"/>
    </w:pPr>
    <w:rPr>
      <w:rFonts w:hint="default" w:ascii="Times New Roman" w:hAnsi="Times New Roman"/>
    </w:rPr>
  </w:style>
  <w:style w:type="character" w:styleId="17">
    <w:name w:val="Hyperlink"/>
    <w:basedOn w:val="16"/>
    <w:uiPriority w:val="0"/>
    <w:rPr>
      <w:color w:val="0000FF"/>
      <w:u w:val="single"/>
    </w:rPr>
  </w:style>
  <w:style w:type="character" w:customStyle="1" w:styleId="18">
    <w:name w:val="16"/>
    <w:basedOn w:val="16"/>
    <w:qFormat/>
    <w:uiPriority w:val="0"/>
    <w:rPr>
      <w:rFonts w:hint="eastAsia" w:ascii="宋体" w:hAnsi="宋体" w:eastAsia="宋体" w:cs="宋体"/>
      <w:sz w:val="18"/>
      <w:szCs w:val="18"/>
    </w:rPr>
  </w:style>
  <w:style w:type="character" w:customStyle="1" w:styleId="19">
    <w:name w:val="10"/>
    <w:basedOn w:val="16"/>
    <w:qFormat/>
    <w:uiPriority w:val="0"/>
    <w:rPr>
      <w:rFonts w:hint="default" w:ascii="Times New Roman" w:hAnsi="Times New Roman" w:cs="Times New Roman"/>
    </w:rPr>
  </w:style>
  <w:style w:type="character" w:customStyle="1" w:styleId="20">
    <w:name w:val="15"/>
    <w:basedOn w:val="16"/>
    <w:uiPriority w:val="0"/>
    <w:rPr>
      <w:rFonts w:hint="eastAsia" w:ascii="宋体" w:hAnsi="宋体" w:eastAsia="宋体" w:cs="宋体"/>
      <w:sz w:val="18"/>
      <w:szCs w:val="18"/>
    </w:rPr>
  </w:style>
  <w:style w:type="paragraph" w:customStyle="1" w:styleId="21">
    <w:name w:val="default"/>
    <w:basedOn w:val="1"/>
    <w:qFormat/>
    <w:uiPriority w:val="0"/>
    <w:pPr>
      <w:spacing w:beforeAutospacing="1" w:afterAutospacing="1"/>
    </w:pPr>
  </w:style>
  <w:style w:type="paragraph" w:customStyle="1" w:styleId="22">
    <w:name w:val="HTML 预设格式 Char"/>
    <w:basedOn w:val="1"/>
    <w:hidden/>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default" w:ascii="Courier New" w:hAnsi="Courier New"/>
      <w:sz w:val="20"/>
      <w:szCs w:val="20"/>
    </w:rPr>
  </w:style>
  <w:style w:type="paragraph" w:customStyle="1" w:styleId="23">
    <w:name w:val="普通(网站) Char"/>
    <w:basedOn w:val="1"/>
    <w:hidden/>
    <w:qFormat/>
    <w:uiPriority w:val="0"/>
    <w:pPr>
      <w:spacing w:beforeAutospacing="1" w:afterAutospacing="1"/>
    </w:pPr>
    <w:rPr>
      <w:rFonts w:hint="default" w:ascii="Times New Roman" w:hAnsi="Times New Roman"/>
    </w:rPr>
  </w:style>
  <w:style w:type="paragraph" w:customStyle="1" w:styleId="24">
    <w:name w:val="msolistparagraph"/>
    <w:basedOn w:val="1"/>
    <w:qFormat/>
    <w:uiPriority w:val="0"/>
    <w:pPr>
      <w:spacing w:beforeAutospacing="1" w:afterAutospacing="1"/>
    </w:pPr>
  </w:style>
  <w:style w:type="paragraph" w:customStyle="1" w:styleId="25">
    <w:name w:val="WPSOffice手动目录 1"/>
    <w:basedOn w:val="1"/>
    <w:qFormat/>
    <w:uiPriority w:val="0"/>
    <w:rPr>
      <w:rFonts w:hint="default" w:ascii="Times New Roman" w:hAnsi="Times New Roman"/>
      <w:sz w:val="20"/>
      <w:szCs w:val="20"/>
    </w:rPr>
  </w:style>
  <w:style w:type="paragraph" w:customStyle="1" w:styleId="26">
    <w:name w:val="WPSOffice手动目录 2"/>
    <w:basedOn w:val="1"/>
    <w:uiPriority w:val="0"/>
    <w:pPr>
      <w:ind w:left="200" w:leftChars="200"/>
    </w:pPr>
    <w:rPr>
      <w:rFonts w:hint="default" w:ascii="Times New Roman" w:hAnsi="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1927</Words>
  <Characters>10987</Characters>
  <Lines>91</Lines>
  <Paragraphs>25</Paragraphs>
  <TotalTime>0</TotalTime>
  <ScaleCrop>false</ScaleCrop>
  <LinksUpToDate>false</LinksUpToDate>
  <CharactersWithSpaces>12889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2021-07-27T09:46:00Z</dcterms:created>
  <dc:creator>Lenovo</dc:creator>
  <cp:lastModifiedBy>Lenovo</cp:lastModifiedBy>
  <cp:lastPrinted>2021-07-30T02:56:00Z</cp:lastPrinted>
  <dcterms:modified xsi:type="dcterms:W3CDTF">2021-08-05T02:51:50Z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D0FFB729D7C94EEC9F397FC14B31F1CE</vt:lpwstr>
  </property>
</Properties>
</file>