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福州市城市管理委员会</w:t>
      </w:r>
    </w:p>
    <w:p>
      <w:pPr>
        <w:adjustRightInd w:val="0"/>
        <w:snapToGrid w:val="0"/>
        <w:spacing w:line="560" w:lineRule="exact"/>
        <w:jc w:val="cente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主动公开行政执法决定文书工作细则</w:t>
      </w:r>
    </w:p>
    <w:p>
      <w:pPr>
        <w:pStyle w:val="4"/>
        <w:widowControl/>
        <w:adjustRightInd w:val="0"/>
        <w:snapToGrid w:val="0"/>
        <w:spacing w:beforeAutospacing="0" w:afterAutospacing="0" w:line="56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4"/>
        <w:widowControl/>
        <w:adjustRightInd w:val="0"/>
        <w:snapToGrid w:val="0"/>
        <w:spacing w:beforeAutospacing="0" w:afterAutospacing="0"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根据福州市人民政府办公厅关于全面推行行政执法公示制度的要求，结合我市城市管理行政执法工作实际，特制定</w:t>
      </w:r>
      <w:r>
        <w:rPr>
          <w:rFonts w:hint="eastAsia" w:ascii="仿宋_GB2312" w:hAnsi="仿宋_GB2312" w:eastAsia="仿宋_GB2312" w:cs="仿宋_GB2312"/>
          <w:color w:val="000000" w:themeColor="text1"/>
          <w:sz w:val="28"/>
          <w:szCs w:val="28"/>
          <w14:textFill>
            <w14:solidFill>
              <w14:schemeClr w14:val="tx1"/>
            </w14:solidFill>
          </w14:textFill>
        </w:rPr>
        <w:t>主动公开行政执法决定文书</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工作细则如下：</w:t>
      </w:r>
    </w:p>
    <w:p>
      <w:pPr>
        <w:adjustRightInd w:val="0"/>
        <w:snapToGrid w:val="0"/>
        <w:spacing w:line="560" w:lineRule="exact"/>
        <w:ind w:firstLine="562"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一、行政执法决定公开的范围</w:t>
      </w:r>
    </w:p>
    <w:p>
      <w:pPr>
        <w:adjustRightInd w:val="0"/>
        <w:snapToGri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城市管理的行政许可文书（含许可证、证书、备案证明）、行政处罚决定书、行政强制执行决定书、查封扣押决定书等均列入公开的范围。</w:t>
      </w:r>
    </w:p>
    <w:p>
      <w:pPr>
        <w:adjustRightInd w:val="0"/>
        <w:snapToGrid w:val="0"/>
        <w:spacing w:line="560" w:lineRule="exact"/>
        <w:ind w:firstLine="562"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二、行政执法决定公开的内容</w:t>
      </w:r>
    </w:p>
    <w:p>
      <w:pPr>
        <w:numPr>
          <w:ilvl w:val="0"/>
          <w:numId w:val="0"/>
        </w:numPr>
        <w:adjustRightInd w:val="0"/>
        <w:snapToGri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行政许可文书应当将</w:t>
      </w:r>
      <w:r>
        <w:rPr>
          <w:rFonts w:hint="eastAsia" w:ascii="仿宋_GB2312" w:hAnsi="仿宋_GB2312" w:eastAsia="仿宋_GB2312" w:cs="仿宋_GB2312"/>
          <w:b w:val="0"/>
          <w:bCs w:val="0"/>
          <w:sz w:val="28"/>
          <w:szCs w:val="28"/>
          <w:lang w:val="en-US" w:eastAsia="zh-CN"/>
        </w:rPr>
        <w:t>申请人名称、许可事项、有效期限和作出许可机关名称、作出许可决定时间</w:t>
      </w:r>
      <w:r>
        <w:rPr>
          <w:rFonts w:hint="eastAsia" w:ascii="仿宋_GB2312" w:hAnsi="仿宋_GB2312" w:eastAsia="仿宋_GB2312" w:cs="仿宋_GB2312"/>
          <w:color w:val="000000" w:themeColor="text1"/>
          <w:sz w:val="28"/>
          <w:szCs w:val="28"/>
          <w14:textFill>
            <w14:solidFill>
              <w14:schemeClr w14:val="tx1"/>
            </w14:solidFill>
          </w14:textFill>
        </w:rPr>
        <w:t>等予以公开；</w:t>
      </w:r>
    </w:p>
    <w:p>
      <w:pPr>
        <w:adjustRightInd w:val="0"/>
        <w:snapToGri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2.行政处罚决定书应当将行政处罚当事人名称、地址、违法事实、处罚依据、处罚内容、救济途径、作出处罚决定书机关、作出行政处罚决定时间、行政处罚决定书编号等予以公开；</w:t>
      </w:r>
    </w:p>
    <w:p>
      <w:pPr>
        <w:adjustRightInd w:val="0"/>
        <w:snapToGri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3.行政强制执行决定书应当将当事人名称</w:t>
      </w:r>
      <w:bookmarkStart w:id="0" w:name="_GoBack"/>
      <w:bookmarkEnd w:id="0"/>
      <w:r>
        <w:rPr>
          <w:rFonts w:hint="eastAsia" w:ascii="仿宋_GB2312" w:hAnsi="仿宋_GB2312" w:eastAsia="仿宋_GB2312" w:cs="仿宋_GB2312"/>
          <w:color w:val="000000" w:themeColor="text1"/>
          <w:sz w:val="28"/>
          <w:szCs w:val="28"/>
          <w14:textFill>
            <w14:solidFill>
              <w14:schemeClr w14:val="tx1"/>
            </w14:solidFill>
          </w14:textFill>
        </w:rPr>
        <w:t>、地址和违法事实、强制执行依据、强制执行内容、强制执行日期、救济途径及作出行政强制执行决定机关、日期</w:t>
      </w:r>
      <w:r>
        <w:rPr>
          <w:rFonts w:hint="eastAsia" w:ascii="仿宋_GB2312" w:hAnsi="仿宋_GB2312" w:eastAsia="仿宋_GB2312" w:cs="仿宋_GB2312"/>
          <w:color w:val="000000" w:themeColor="text1"/>
          <w:sz w:val="28"/>
          <w:szCs w:val="28"/>
          <w:lang w:eastAsia="zh-CN"/>
          <w14:textFill>
            <w14:solidFill>
              <w14:schemeClr w14:val="tx1"/>
            </w14:solidFill>
          </w14:textFill>
        </w:rPr>
        <w:t>等</w:t>
      </w:r>
      <w:r>
        <w:rPr>
          <w:rFonts w:hint="eastAsia" w:ascii="仿宋_GB2312" w:hAnsi="仿宋_GB2312" w:eastAsia="仿宋_GB2312" w:cs="仿宋_GB2312"/>
          <w:color w:val="000000" w:themeColor="text1"/>
          <w:sz w:val="28"/>
          <w:szCs w:val="28"/>
          <w14:textFill>
            <w14:solidFill>
              <w14:schemeClr w14:val="tx1"/>
            </w14:solidFill>
          </w14:textFill>
        </w:rPr>
        <w:t>予以公开；</w:t>
      </w:r>
    </w:p>
    <w:p>
      <w:pPr>
        <w:adjustRightInd w:val="0"/>
        <w:snapToGrid w:val="0"/>
        <w:spacing w:line="560" w:lineRule="exact"/>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4.查封扣押决定书应当将当事人名称、地址和违法</w:t>
      </w:r>
      <w:r>
        <w:rPr>
          <w:rFonts w:hint="eastAsia" w:ascii="仿宋_GB2312" w:hAnsi="仿宋_GB2312" w:eastAsia="仿宋_GB2312" w:cs="仿宋_GB2312"/>
          <w:color w:val="000000" w:themeColor="text1"/>
          <w:sz w:val="28"/>
          <w:szCs w:val="28"/>
          <w:lang w:eastAsia="zh-CN"/>
          <w14:textFill>
            <w14:solidFill>
              <w14:schemeClr w14:val="tx1"/>
            </w14:solidFill>
          </w14:textFill>
        </w:rPr>
        <w:t>事实</w:t>
      </w:r>
      <w:r>
        <w:rPr>
          <w:rFonts w:hint="eastAsia" w:ascii="仿宋_GB2312" w:hAnsi="仿宋_GB2312" w:eastAsia="仿宋_GB2312" w:cs="仿宋_GB2312"/>
          <w:color w:val="000000" w:themeColor="text1"/>
          <w:sz w:val="28"/>
          <w:szCs w:val="28"/>
          <w14:textFill>
            <w14:solidFill>
              <w14:schemeClr w14:val="tx1"/>
            </w14:solidFill>
          </w14:textFill>
        </w:rPr>
        <w:t>、法律依据、查封扣押对象、查封扣押时间、救济途径及作出查封扣押决定机关、日期等予以公开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adjustRightInd w:val="0"/>
        <w:snapToGrid w:val="0"/>
        <w:spacing w:line="560" w:lineRule="exact"/>
        <w:ind w:firstLine="562"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三、行政执法决定公开的程序与时限要求</w:t>
      </w:r>
    </w:p>
    <w:p>
      <w:pPr>
        <w:adjustRightInd w:val="0"/>
        <w:snapToGrid w:val="0"/>
        <w:spacing w:line="560" w:lineRule="exact"/>
        <w:ind w:firstLine="560" w:firstLineChars="20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1.行政许可文书的公开程序与时限。行政许可文书公开以市行政服务中心管委会的统一要求，在网上行政审批系统作出许可决定后自动映射到福州市政府门户网站</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信用福州和福建省网上办事大厅、福州市网上办事大厅的行政审批服务结果栏目进行公开；同时，委行政审批处</w:t>
      </w:r>
      <w:r>
        <w:rPr>
          <w:rFonts w:hint="eastAsia" w:ascii="仿宋_GB2312" w:hAnsi="仿宋_GB2312" w:eastAsia="仿宋_GB2312" w:cs="仿宋_GB2312"/>
          <w:color w:val="000000" w:themeColor="text1"/>
          <w:kern w:val="0"/>
          <w:sz w:val="28"/>
          <w:szCs w:val="28"/>
          <w14:textFill>
            <w14:solidFill>
              <w14:schemeClr w14:val="tx1"/>
            </w14:solidFill>
          </w14:textFill>
        </w:rPr>
        <w:t>每周一将上周的行政许可文书的主要内容上传至</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本委</w:t>
      </w:r>
      <w:r>
        <w:rPr>
          <w:rFonts w:hint="eastAsia" w:ascii="仿宋_GB2312" w:hAnsi="仿宋_GB2312" w:eastAsia="仿宋_GB2312" w:cs="仿宋_GB2312"/>
          <w:color w:val="000000" w:themeColor="text1"/>
          <w:kern w:val="0"/>
          <w:sz w:val="28"/>
          <w:szCs w:val="28"/>
          <w14:textFill>
            <w14:solidFill>
              <w14:schemeClr w14:val="tx1"/>
            </w14:solidFill>
          </w14:textFill>
        </w:rPr>
        <w:t>网站后台，委公共关系处每周二将</w:t>
      </w:r>
      <w:r>
        <w:rPr>
          <w:rFonts w:hint="eastAsia" w:ascii="仿宋_GB2312" w:hAnsi="仿宋_GB2312" w:eastAsia="仿宋_GB2312" w:cs="仿宋_GB2312"/>
          <w:color w:val="000000" w:themeColor="text1"/>
          <w:sz w:val="28"/>
          <w:szCs w:val="28"/>
          <w14:textFill>
            <w14:solidFill>
              <w14:schemeClr w14:val="tx1"/>
            </w14:solidFill>
          </w14:textFill>
        </w:rPr>
        <w:t>委行政审批处</w:t>
      </w:r>
      <w:r>
        <w:rPr>
          <w:rFonts w:hint="eastAsia" w:ascii="仿宋_GB2312" w:hAnsi="仿宋_GB2312" w:eastAsia="仿宋_GB2312" w:cs="仿宋_GB2312"/>
          <w:color w:val="000000" w:themeColor="text1"/>
          <w:kern w:val="0"/>
          <w:sz w:val="28"/>
          <w:szCs w:val="28"/>
          <w14:textFill>
            <w14:solidFill>
              <w14:schemeClr w14:val="tx1"/>
            </w14:solidFill>
          </w14:textFill>
        </w:rPr>
        <w:t>上传至</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本委</w:t>
      </w:r>
      <w:r>
        <w:rPr>
          <w:rFonts w:hint="eastAsia" w:ascii="仿宋_GB2312" w:hAnsi="仿宋_GB2312" w:eastAsia="仿宋_GB2312" w:cs="仿宋_GB2312"/>
          <w:color w:val="000000" w:themeColor="text1"/>
          <w:kern w:val="0"/>
          <w:sz w:val="28"/>
          <w:szCs w:val="28"/>
          <w14:textFill>
            <w14:solidFill>
              <w14:schemeClr w14:val="tx1"/>
            </w14:solidFill>
          </w14:textFill>
        </w:rPr>
        <w:t>网站后台的行政许可文书主要内容在“</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双公示</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专</w:t>
      </w:r>
      <w:r>
        <w:rPr>
          <w:rFonts w:hint="eastAsia" w:ascii="仿宋_GB2312" w:hAnsi="仿宋_GB2312" w:eastAsia="仿宋_GB2312" w:cs="仿宋_GB2312"/>
          <w:color w:val="000000" w:themeColor="text1"/>
          <w:kern w:val="0"/>
          <w:sz w:val="28"/>
          <w:szCs w:val="28"/>
          <w14:textFill>
            <w14:solidFill>
              <w14:schemeClr w14:val="tx1"/>
            </w14:solidFill>
          </w14:textFill>
        </w:rPr>
        <w:t>栏予以公示。</w:t>
      </w:r>
    </w:p>
    <w:p>
      <w:pPr>
        <w:adjustRightInd w:val="0"/>
        <w:snapToGri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2.行政处罚决定书和行政强制执行决定书的公开程序与时限。行政处罚决定书和行政强制执行决定书公开按照市政府法制办的统一要求，在福州市网上行政处罚及执法监察系统</w:t>
      </w:r>
      <w:r>
        <w:rPr>
          <w:rFonts w:hint="eastAsia" w:ascii="仿宋_GB2312" w:hAnsi="仿宋_GB2312" w:eastAsia="仿宋_GB2312" w:cs="仿宋_GB2312"/>
          <w:color w:val="000000" w:themeColor="text1"/>
          <w:sz w:val="28"/>
          <w:szCs w:val="28"/>
          <w:highlight w:val="none"/>
          <w14:textFill>
            <w14:solidFill>
              <w14:schemeClr w14:val="tx1"/>
            </w14:solidFill>
          </w14:textFill>
        </w:rPr>
        <w:t>作出决定后</w:t>
      </w:r>
      <w:r>
        <w:rPr>
          <w:rFonts w:hint="eastAsia" w:ascii="仿宋_GB2312" w:hAnsi="仿宋_GB2312" w:eastAsia="仿宋_GB2312" w:cs="仿宋_GB2312"/>
          <w:color w:val="000000" w:themeColor="text1"/>
          <w:sz w:val="28"/>
          <w:szCs w:val="28"/>
          <w14:textFill>
            <w14:solidFill>
              <w14:schemeClr w14:val="tx1"/>
            </w14:solidFill>
          </w14:textFill>
        </w:rPr>
        <w:t>自动映射到福州市政府门户网站信用福州的行政处罚结果栏目进行公开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同时，</w:t>
      </w:r>
      <w:r>
        <w:rPr>
          <w:rFonts w:hint="eastAsia" w:ascii="仿宋_GB2312" w:hAnsi="仿宋_GB2312" w:eastAsia="仿宋_GB2312" w:cs="仿宋_GB2312"/>
          <w:color w:val="000000" w:themeColor="text1"/>
          <w:sz w:val="28"/>
          <w:szCs w:val="28"/>
          <w:lang w:eastAsia="zh-CN"/>
          <w14:textFill>
            <w14:solidFill>
              <w14:schemeClr w14:val="tx1"/>
            </w14:solidFill>
          </w14:textFill>
        </w:rPr>
        <w:t>市城管支队</w:t>
      </w:r>
      <w:r>
        <w:rPr>
          <w:rFonts w:hint="eastAsia" w:ascii="仿宋_GB2312" w:hAnsi="仿宋_GB2312" w:eastAsia="仿宋_GB2312" w:cs="仿宋_GB2312"/>
          <w:color w:val="000000" w:themeColor="text1"/>
          <w:kern w:val="0"/>
          <w:sz w:val="28"/>
          <w:szCs w:val="28"/>
          <w14:textFill>
            <w14:solidFill>
              <w14:schemeClr w14:val="tx1"/>
            </w14:solidFill>
          </w14:textFill>
        </w:rPr>
        <w:t>每周一将上周的行政</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处罚</w:t>
      </w:r>
      <w:r>
        <w:rPr>
          <w:rFonts w:hint="eastAsia" w:ascii="仿宋_GB2312" w:hAnsi="仿宋_GB2312" w:eastAsia="仿宋_GB2312" w:cs="仿宋_GB2312"/>
          <w:color w:val="000000" w:themeColor="text1"/>
          <w:sz w:val="28"/>
          <w:szCs w:val="28"/>
          <w14:textFill>
            <w14:solidFill>
              <w14:schemeClr w14:val="tx1"/>
            </w14:solidFill>
          </w14:textFill>
        </w:rPr>
        <w:t>和行政强制执行决定</w:t>
      </w:r>
      <w:r>
        <w:rPr>
          <w:rFonts w:hint="eastAsia" w:ascii="仿宋_GB2312" w:hAnsi="仿宋_GB2312" w:eastAsia="仿宋_GB2312" w:cs="仿宋_GB2312"/>
          <w:color w:val="000000" w:themeColor="text1"/>
          <w:kern w:val="0"/>
          <w:sz w:val="28"/>
          <w:szCs w:val="28"/>
          <w14:textFill>
            <w14:solidFill>
              <w14:schemeClr w14:val="tx1"/>
            </w14:solidFill>
          </w14:textFill>
        </w:rPr>
        <w:t>文书的主要内容上传至</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本委</w:t>
      </w:r>
      <w:r>
        <w:rPr>
          <w:rFonts w:hint="eastAsia" w:ascii="仿宋_GB2312" w:hAnsi="仿宋_GB2312" w:eastAsia="仿宋_GB2312" w:cs="仿宋_GB2312"/>
          <w:color w:val="000000" w:themeColor="text1"/>
          <w:kern w:val="0"/>
          <w:sz w:val="28"/>
          <w:szCs w:val="28"/>
          <w14:textFill>
            <w14:solidFill>
              <w14:schemeClr w14:val="tx1"/>
            </w14:solidFill>
          </w14:textFill>
        </w:rPr>
        <w:t>网站后台，委公共关系处每周二将</w:t>
      </w:r>
      <w:r>
        <w:rPr>
          <w:rFonts w:hint="eastAsia" w:ascii="仿宋_GB2312" w:hAnsi="仿宋_GB2312" w:eastAsia="仿宋_GB2312" w:cs="仿宋_GB2312"/>
          <w:color w:val="000000" w:themeColor="text1"/>
          <w:sz w:val="28"/>
          <w:szCs w:val="28"/>
          <w:lang w:eastAsia="zh-CN"/>
          <w14:textFill>
            <w14:solidFill>
              <w14:schemeClr w14:val="tx1"/>
            </w14:solidFill>
          </w14:textFill>
        </w:rPr>
        <w:t>市城管支队</w:t>
      </w:r>
      <w:r>
        <w:rPr>
          <w:rFonts w:hint="eastAsia" w:ascii="仿宋_GB2312" w:hAnsi="仿宋_GB2312" w:eastAsia="仿宋_GB2312" w:cs="仿宋_GB2312"/>
          <w:color w:val="000000" w:themeColor="text1"/>
          <w:kern w:val="0"/>
          <w:sz w:val="28"/>
          <w:szCs w:val="28"/>
          <w14:textFill>
            <w14:solidFill>
              <w14:schemeClr w14:val="tx1"/>
            </w14:solidFill>
          </w14:textFill>
        </w:rPr>
        <w:t>上传至</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本委</w:t>
      </w:r>
      <w:r>
        <w:rPr>
          <w:rFonts w:hint="eastAsia" w:ascii="仿宋_GB2312" w:hAnsi="仿宋_GB2312" w:eastAsia="仿宋_GB2312" w:cs="仿宋_GB2312"/>
          <w:color w:val="000000" w:themeColor="text1"/>
          <w:kern w:val="0"/>
          <w:sz w:val="28"/>
          <w:szCs w:val="28"/>
          <w14:textFill>
            <w14:solidFill>
              <w14:schemeClr w14:val="tx1"/>
            </w14:solidFill>
          </w14:textFill>
        </w:rPr>
        <w:t>网站后台的</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行政处罚</w:t>
      </w:r>
      <w:r>
        <w:rPr>
          <w:rFonts w:hint="eastAsia" w:ascii="仿宋_GB2312" w:hAnsi="仿宋_GB2312" w:eastAsia="仿宋_GB2312" w:cs="仿宋_GB2312"/>
          <w:color w:val="000000" w:themeColor="text1"/>
          <w:kern w:val="0"/>
          <w:sz w:val="28"/>
          <w:szCs w:val="28"/>
          <w14:textFill>
            <w14:solidFill>
              <w14:schemeClr w14:val="tx1"/>
            </w14:solidFill>
          </w14:textFill>
        </w:rPr>
        <w:t>文书主要内容在“</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双公示</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专</w:t>
      </w:r>
      <w:r>
        <w:rPr>
          <w:rFonts w:hint="eastAsia" w:ascii="仿宋_GB2312" w:hAnsi="仿宋_GB2312" w:eastAsia="仿宋_GB2312" w:cs="仿宋_GB2312"/>
          <w:color w:val="000000" w:themeColor="text1"/>
          <w:kern w:val="0"/>
          <w:sz w:val="28"/>
          <w:szCs w:val="28"/>
          <w14:textFill>
            <w14:solidFill>
              <w14:schemeClr w14:val="tx1"/>
            </w14:solidFill>
          </w14:textFill>
        </w:rPr>
        <w:t>栏予以公示。</w:t>
      </w:r>
    </w:p>
    <w:p>
      <w:pPr>
        <w:adjustRightInd w:val="0"/>
        <w:snapToGri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3.查封扣押决定书的公开程序与时限。市城管支队</w:t>
      </w:r>
      <w:r>
        <w:rPr>
          <w:rFonts w:hint="eastAsia" w:ascii="仿宋_GB2312" w:hAnsi="仿宋_GB2312" w:eastAsia="仿宋_GB2312" w:cs="仿宋_GB2312"/>
          <w:color w:val="000000" w:themeColor="text1"/>
          <w:sz w:val="28"/>
          <w:szCs w:val="28"/>
          <w:lang w:eastAsia="zh-CN"/>
          <w14:textFill>
            <w14:solidFill>
              <w14:schemeClr w14:val="tx1"/>
            </w14:solidFill>
          </w14:textFill>
        </w:rPr>
        <w:t>应当</w:t>
      </w:r>
      <w:r>
        <w:rPr>
          <w:rFonts w:hint="eastAsia" w:ascii="仿宋_GB2312" w:hAnsi="仿宋_GB2312" w:eastAsia="仿宋_GB2312" w:cs="仿宋_GB2312"/>
          <w:color w:val="000000" w:themeColor="text1"/>
          <w:sz w:val="28"/>
          <w:szCs w:val="28"/>
          <w14:textFill>
            <w14:solidFill>
              <w14:schemeClr w14:val="tx1"/>
            </w14:solidFill>
          </w14:textFill>
        </w:rPr>
        <w:t>在作出查封扣押决定书之日起2个工作日内将决定文书的</w:t>
      </w:r>
      <w:r>
        <w:rPr>
          <w:rFonts w:hint="eastAsia" w:ascii="仿宋_GB2312" w:hAnsi="仿宋_GB2312" w:eastAsia="仿宋_GB2312" w:cs="仿宋_GB2312"/>
          <w:color w:val="000000" w:themeColor="text1"/>
          <w:kern w:val="0"/>
          <w:sz w:val="28"/>
          <w:szCs w:val="28"/>
          <w14:textFill>
            <w14:solidFill>
              <w14:schemeClr w14:val="tx1"/>
            </w14:solidFill>
          </w14:textFill>
        </w:rPr>
        <w:t>主要内容上传至</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本委</w:t>
      </w:r>
      <w:r>
        <w:rPr>
          <w:rFonts w:hint="eastAsia" w:ascii="仿宋_GB2312" w:hAnsi="仿宋_GB2312" w:eastAsia="仿宋_GB2312" w:cs="仿宋_GB2312"/>
          <w:color w:val="000000" w:themeColor="text1"/>
          <w:kern w:val="0"/>
          <w:sz w:val="28"/>
          <w:szCs w:val="28"/>
          <w14:textFill>
            <w14:solidFill>
              <w14:schemeClr w14:val="tx1"/>
            </w14:solidFill>
          </w14:textFill>
        </w:rPr>
        <w:t>网站后台，委公共关系处每周二将</w:t>
      </w:r>
      <w:r>
        <w:rPr>
          <w:rFonts w:hint="eastAsia" w:ascii="仿宋_GB2312" w:hAnsi="仿宋_GB2312" w:eastAsia="仿宋_GB2312" w:cs="仿宋_GB2312"/>
          <w:color w:val="000000" w:themeColor="text1"/>
          <w:sz w:val="28"/>
          <w:szCs w:val="28"/>
          <w14:textFill>
            <w14:solidFill>
              <w14:schemeClr w14:val="tx1"/>
            </w14:solidFill>
          </w14:textFill>
        </w:rPr>
        <w:t>市城管支队</w:t>
      </w:r>
      <w:r>
        <w:rPr>
          <w:rFonts w:hint="eastAsia" w:ascii="仿宋_GB2312" w:hAnsi="仿宋_GB2312" w:eastAsia="仿宋_GB2312" w:cs="仿宋_GB2312"/>
          <w:color w:val="000000" w:themeColor="text1"/>
          <w:kern w:val="0"/>
          <w:sz w:val="28"/>
          <w:szCs w:val="28"/>
          <w14:textFill>
            <w14:solidFill>
              <w14:schemeClr w14:val="tx1"/>
            </w14:solidFill>
          </w14:textFill>
        </w:rPr>
        <w:t>上传至</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本委</w:t>
      </w:r>
      <w:r>
        <w:rPr>
          <w:rFonts w:hint="eastAsia" w:ascii="仿宋_GB2312" w:hAnsi="仿宋_GB2312" w:eastAsia="仿宋_GB2312" w:cs="仿宋_GB2312"/>
          <w:color w:val="000000" w:themeColor="text1"/>
          <w:kern w:val="0"/>
          <w:sz w:val="28"/>
          <w:szCs w:val="28"/>
          <w14:textFill>
            <w14:solidFill>
              <w14:schemeClr w14:val="tx1"/>
            </w14:solidFill>
          </w14:textFill>
        </w:rPr>
        <w:t>网站后台的</w:t>
      </w:r>
      <w:r>
        <w:rPr>
          <w:rFonts w:hint="eastAsia" w:ascii="仿宋_GB2312" w:hAnsi="仿宋_GB2312" w:eastAsia="仿宋_GB2312" w:cs="仿宋_GB2312"/>
          <w:color w:val="000000" w:themeColor="text1"/>
          <w:sz w:val="28"/>
          <w:szCs w:val="28"/>
          <w14:textFill>
            <w14:solidFill>
              <w14:schemeClr w14:val="tx1"/>
            </w14:solidFill>
          </w14:textFill>
        </w:rPr>
        <w:t>查封扣押决定文书</w:t>
      </w:r>
      <w:r>
        <w:rPr>
          <w:rFonts w:hint="eastAsia" w:ascii="仿宋_GB2312" w:hAnsi="仿宋_GB2312" w:eastAsia="仿宋_GB2312" w:cs="仿宋_GB2312"/>
          <w:color w:val="000000" w:themeColor="text1"/>
          <w:kern w:val="0"/>
          <w:sz w:val="28"/>
          <w:szCs w:val="28"/>
          <w14:textFill>
            <w14:solidFill>
              <w14:schemeClr w14:val="tx1"/>
            </w14:solidFill>
          </w14:textFill>
        </w:rPr>
        <w:t>主要内容在“</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双公示</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专</w:t>
      </w:r>
      <w:r>
        <w:rPr>
          <w:rFonts w:hint="eastAsia" w:ascii="仿宋_GB2312" w:hAnsi="仿宋_GB2312" w:eastAsia="仿宋_GB2312" w:cs="仿宋_GB2312"/>
          <w:color w:val="000000" w:themeColor="text1"/>
          <w:kern w:val="0"/>
          <w:sz w:val="28"/>
          <w:szCs w:val="28"/>
          <w14:textFill>
            <w14:solidFill>
              <w14:schemeClr w14:val="tx1"/>
            </w14:solidFill>
          </w14:textFill>
        </w:rPr>
        <w:t>栏予以公示。</w:t>
      </w:r>
    </w:p>
    <w:p>
      <w:pPr>
        <w:adjustRightInd w:val="0"/>
        <w:snapToGrid w:val="0"/>
        <w:spacing w:line="560" w:lineRule="exact"/>
        <w:ind w:firstLine="562" w:firstLineChars="200"/>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四、本</w:t>
      </w: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工作细则由委政策法规处负责解释。</w:t>
      </w:r>
    </w:p>
    <w:p>
      <w:pPr>
        <w:adjustRightInd w:val="0"/>
        <w:snapToGrid w:val="0"/>
        <w:spacing w:line="560" w:lineRule="exact"/>
        <w:ind w:firstLine="562" w:firstLineChars="200"/>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五、</w:t>
      </w:r>
      <w:r>
        <w:rPr>
          <w:rFonts w:hint="eastAsia" w:ascii="仿宋_GB2312" w:hAnsi="仿宋_GB2312" w:eastAsia="仿宋_GB2312" w:cs="仿宋_GB2312"/>
          <w:b/>
          <w:bCs/>
          <w:color w:val="000000" w:themeColor="text1"/>
          <w:sz w:val="28"/>
          <w:szCs w:val="28"/>
          <w14:textFill>
            <w14:solidFill>
              <w14:schemeClr w14:val="tx1"/>
            </w14:solidFill>
          </w14:textFill>
        </w:rPr>
        <w:t>本</w:t>
      </w:r>
      <w:r>
        <w:rPr>
          <w:rFonts w:hint="eastAsia" w:ascii="仿宋_GB2312" w:hAnsi="仿宋_GB2312" w:eastAsia="仿宋_GB2312" w:cs="仿宋_GB2312"/>
          <w:b/>
          <w:bCs/>
          <w:color w:val="000000" w:themeColor="text1"/>
          <w:sz w:val="28"/>
          <w:szCs w:val="28"/>
          <w:shd w:val="clear" w:color="auto" w:fill="FFFFFF"/>
          <w14:textFill>
            <w14:solidFill>
              <w14:schemeClr w14:val="tx1"/>
            </w14:solidFill>
          </w14:textFill>
        </w:rPr>
        <w:t>工作细则自公布之日起实施。</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- 1 -</w:t>
                          </w:r>
                          <w:r>
                            <w:rPr>
                              <w:rFonts w:hint="eastAsia" w:ascii="楷体_GB2312" w:hAnsi="楷体_GB2312" w:eastAsia="楷体_GB2312" w:cs="楷体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- 1 -</w:t>
                    </w:r>
                    <w:r>
                      <w:rPr>
                        <w:rFonts w:hint="eastAsia" w:ascii="楷体_GB2312" w:hAnsi="楷体_GB2312" w:eastAsia="楷体_GB2312" w:cs="楷体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F007B"/>
    <w:rsid w:val="00456338"/>
    <w:rsid w:val="00AD34A4"/>
    <w:rsid w:val="00C9353C"/>
    <w:rsid w:val="00EE6E45"/>
    <w:rsid w:val="01B91B27"/>
    <w:rsid w:val="02617587"/>
    <w:rsid w:val="069448DB"/>
    <w:rsid w:val="116C105D"/>
    <w:rsid w:val="123D1F6C"/>
    <w:rsid w:val="12E46981"/>
    <w:rsid w:val="13170101"/>
    <w:rsid w:val="163F1D8C"/>
    <w:rsid w:val="17827EDC"/>
    <w:rsid w:val="1BD91408"/>
    <w:rsid w:val="207B7AB1"/>
    <w:rsid w:val="209D3779"/>
    <w:rsid w:val="24617F99"/>
    <w:rsid w:val="3750122C"/>
    <w:rsid w:val="40BF007B"/>
    <w:rsid w:val="432D1802"/>
    <w:rsid w:val="45727706"/>
    <w:rsid w:val="4F4410D5"/>
    <w:rsid w:val="5C3A52FC"/>
    <w:rsid w:val="626E2B01"/>
    <w:rsid w:val="65060CEC"/>
    <w:rsid w:val="65617B3F"/>
    <w:rsid w:val="67D64EFC"/>
    <w:rsid w:val="6AD056B5"/>
    <w:rsid w:val="6BA439F9"/>
    <w:rsid w:val="7A982BB0"/>
    <w:rsid w:val="7BCD3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FollowedHyperlink"/>
    <w:basedOn w:val="5"/>
    <w:qFormat/>
    <w:uiPriority w:val="0"/>
    <w:rPr>
      <w:color w:val="555555"/>
      <w:u w:val="none"/>
    </w:rPr>
  </w:style>
  <w:style w:type="character" w:styleId="7">
    <w:name w:val="Hyperlink"/>
    <w:basedOn w:val="5"/>
    <w:qFormat/>
    <w:uiPriority w:val="0"/>
    <w:rPr>
      <w:color w:val="555555"/>
      <w:u w:val="none"/>
    </w:rPr>
  </w:style>
  <w:style w:type="character" w:customStyle="1" w:styleId="9">
    <w:name w:val="disab"/>
    <w:basedOn w:val="5"/>
    <w:qFormat/>
    <w:uiPriority w:val="0"/>
    <w:rPr>
      <w:bdr w:val="single" w:color="E4E4E4" w:sz="6" w:space="0"/>
      <w:shd w:val="clear" w:color="auto" w:fill="CCCCCC"/>
    </w:rPr>
  </w:style>
  <w:style w:type="character" w:customStyle="1" w:styleId="10">
    <w:name w:val="sp1"/>
    <w:basedOn w:val="5"/>
    <w:qFormat/>
    <w:uiPriority w:val="0"/>
  </w:style>
  <w:style w:type="character" w:customStyle="1" w:styleId="11">
    <w:name w:val="sp2"/>
    <w:basedOn w:val="5"/>
    <w:qFormat/>
    <w:uiPriority w:val="0"/>
  </w:style>
  <w:style w:type="character" w:customStyle="1" w:styleId="12">
    <w:name w:val="sp3"/>
    <w:basedOn w:val="5"/>
    <w:qFormat/>
    <w:uiPriority w:val="0"/>
  </w:style>
  <w:style w:type="character" w:customStyle="1" w:styleId="13">
    <w:name w:val="current"/>
    <w:basedOn w:val="5"/>
    <w:qFormat/>
    <w:uiPriority w:val="0"/>
    <w:rPr>
      <w:color w:val="FFFFFF"/>
      <w:u w:val="none"/>
      <w:bdr w:val="single" w:color="EE1F00" w:sz="6" w:space="0"/>
      <w:shd w:val="clear" w:color="auto" w:fill="EE1F00"/>
    </w:rPr>
  </w:style>
  <w:style w:type="character" w:customStyle="1" w:styleId="14">
    <w:name w:val="disabled"/>
    <w:basedOn w:val="5"/>
    <w:qFormat/>
    <w:uiPriority w:val="0"/>
    <w:rPr>
      <w:bdr w:val="single" w:color="E4E4E4" w:sz="6" w:space="0"/>
      <w:shd w:val="clear" w:color="auto" w:fill="CCCCCC"/>
    </w:rPr>
  </w:style>
  <w:style w:type="character" w:customStyle="1" w:styleId="15">
    <w:name w:val="go"/>
    <w:basedOn w:val="5"/>
    <w:qFormat/>
    <w:uiPriority w:val="0"/>
    <w:rPr>
      <w:shd w:val="clear" w:color="auto" w:fill="E2E2E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1148</Words>
  <Characters>1155</Characters>
  <Lines>9</Lines>
  <Paragraphs>2</Paragraphs>
  <TotalTime>3</TotalTime>
  <ScaleCrop>false</ScaleCrop>
  <LinksUpToDate>false</LinksUpToDate>
  <CharactersWithSpaces>1158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2018-05-08T09:13:00Z</dcterms:created>
  <dc:creator>chen</dc:creator>
  <cp:lastModifiedBy>LN</cp:lastModifiedBy>
  <cp:lastPrinted>2018-05-10T03:55:00Z</cp:lastPrinted>
  <dcterms:modified xsi:type="dcterms:W3CDTF">2018-06-25T02:30:38Z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